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2.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19A" w:rsidRDefault="00FE1DAB" w:rsidP="0005519A">
      <w:pPr>
        <w:spacing w:after="100" w:afterAutospacing="1" w:line="560" w:lineRule="exact"/>
        <w:jc w:val="center"/>
        <w:rPr>
          <w:rFonts w:ascii="標楷體" w:eastAsia="標楷體" w:hAnsi="標楷體"/>
          <w:b/>
          <w:sz w:val="48"/>
          <w:szCs w:val="48"/>
        </w:rPr>
      </w:pPr>
      <w:r w:rsidRPr="00F05BBB">
        <w:rPr>
          <w:rFonts w:ascii="標楷體" w:eastAsia="標楷體" w:hAnsi="標楷體" w:hint="eastAsia"/>
          <w:b/>
          <w:sz w:val="48"/>
          <w:szCs w:val="48"/>
        </w:rPr>
        <w:t>中央政府總預算半年結算報告</w:t>
      </w:r>
    </w:p>
    <w:p w:rsidR="00FE1DAB" w:rsidRDefault="00FE1DAB" w:rsidP="0005519A">
      <w:pPr>
        <w:spacing w:line="560" w:lineRule="exact"/>
        <w:jc w:val="center"/>
        <w:rPr>
          <w:rFonts w:ascii="標楷體" w:eastAsia="標楷體" w:hAnsi="標楷體"/>
          <w:b/>
          <w:sz w:val="48"/>
          <w:szCs w:val="48"/>
        </w:rPr>
      </w:pPr>
      <w:r w:rsidRPr="00F05BBB">
        <w:rPr>
          <w:rFonts w:ascii="標楷體" w:eastAsia="標楷體" w:hAnsi="標楷體" w:hint="eastAsia"/>
          <w:b/>
          <w:sz w:val="48"/>
          <w:szCs w:val="48"/>
        </w:rPr>
        <w:t>總</w:t>
      </w:r>
      <w:r w:rsidR="0005519A">
        <w:rPr>
          <w:rFonts w:ascii="標楷體" w:eastAsia="標楷體" w:hAnsi="標楷體" w:hint="eastAsia"/>
          <w:b/>
          <w:sz w:val="48"/>
          <w:szCs w:val="48"/>
        </w:rPr>
        <w:t xml:space="preserve">      </w:t>
      </w:r>
      <w:r w:rsidRPr="00F05BBB">
        <w:rPr>
          <w:rFonts w:ascii="標楷體" w:eastAsia="標楷體" w:hAnsi="標楷體" w:hint="eastAsia"/>
          <w:b/>
          <w:sz w:val="48"/>
          <w:szCs w:val="48"/>
        </w:rPr>
        <w:t>說</w:t>
      </w:r>
      <w:r w:rsidR="0005519A">
        <w:rPr>
          <w:rFonts w:ascii="標楷體" w:eastAsia="標楷體" w:hAnsi="標楷體" w:hint="eastAsia"/>
          <w:b/>
          <w:sz w:val="48"/>
          <w:szCs w:val="48"/>
        </w:rPr>
        <w:t xml:space="preserve">      </w:t>
      </w:r>
      <w:r w:rsidRPr="00F05BBB">
        <w:rPr>
          <w:rFonts w:ascii="標楷體" w:eastAsia="標楷體" w:hAnsi="標楷體" w:hint="eastAsia"/>
          <w:b/>
          <w:sz w:val="48"/>
          <w:szCs w:val="48"/>
        </w:rPr>
        <w:t>明</w:t>
      </w:r>
    </w:p>
    <w:p w:rsidR="0005519A" w:rsidRPr="0005519A" w:rsidRDefault="0005519A" w:rsidP="0005519A">
      <w:pPr>
        <w:spacing w:after="120" w:line="480" w:lineRule="exact"/>
        <w:jc w:val="center"/>
        <w:rPr>
          <w:rFonts w:ascii="標楷體" w:eastAsia="標楷體" w:hAnsi="標楷體"/>
          <w:sz w:val="28"/>
          <w:szCs w:val="28"/>
        </w:rPr>
      </w:pPr>
      <w:r w:rsidRPr="0005519A">
        <w:rPr>
          <w:rFonts w:ascii="標楷體" w:eastAsia="標楷體" w:hAnsi="標楷體" w:hint="eastAsia"/>
          <w:sz w:val="28"/>
          <w:szCs w:val="28"/>
        </w:rPr>
        <w:t>中</w:t>
      </w:r>
      <w:r w:rsidRPr="0005519A">
        <w:rPr>
          <w:rFonts w:ascii="標楷體" w:eastAsia="標楷體" w:hAnsi="標楷體"/>
          <w:sz w:val="28"/>
          <w:szCs w:val="28"/>
        </w:rPr>
        <w:t>華民國</w:t>
      </w:r>
      <w:r w:rsidR="00D00F53">
        <w:rPr>
          <w:rFonts w:ascii="標楷體" w:eastAsia="標楷體" w:hAnsi="標楷體" w:hint="eastAsia"/>
          <w:sz w:val="28"/>
          <w:szCs w:val="28"/>
        </w:rPr>
        <w:t>109</w:t>
      </w:r>
      <w:r w:rsidRPr="0005519A">
        <w:rPr>
          <w:rFonts w:ascii="標楷體" w:eastAsia="標楷體" w:hAnsi="標楷體" w:hint="eastAsia"/>
          <w:sz w:val="28"/>
          <w:szCs w:val="28"/>
        </w:rPr>
        <w:t>年1月1日</w:t>
      </w:r>
      <w:r w:rsidRPr="0005519A">
        <w:rPr>
          <w:rFonts w:ascii="標楷體" w:eastAsia="標楷體" w:hAnsi="標楷體"/>
          <w:sz w:val="28"/>
          <w:szCs w:val="28"/>
        </w:rPr>
        <w:t>至</w:t>
      </w:r>
      <w:r w:rsidR="00D00F53">
        <w:rPr>
          <w:rFonts w:ascii="標楷體" w:eastAsia="標楷體" w:hAnsi="標楷體" w:hint="eastAsia"/>
          <w:sz w:val="28"/>
          <w:szCs w:val="28"/>
        </w:rPr>
        <w:t>109</w:t>
      </w:r>
      <w:r w:rsidRPr="0005519A">
        <w:rPr>
          <w:rFonts w:ascii="標楷體" w:eastAsia="標楷體" w:hAnsi="標楷體" w:hint="eastAsia"/>
          <w:sz w:val="28"/>
          <w:szCs w:val="28"/>
        </w:rPr>
        <w:t>年6月30日</w:t>
      </w:r>
    </w:p>
    <w:p w:rsidR="00FE1DAB" w:rsidRPr="00F05BBB" w:rsidRDefault="00FE1DAB" w:rsidP="00074277">
      <w:pPr>
        <w:pStyle w:val="1"/>
        <w:snapToGrid w:val="0"/>
        <w:spacing w:beforeLines="50" w:before="120" w:line="288" w:lineRule="auto"/>
        <w:rPr>
          <w:rFonts w:ascii="標楷體" w:eastAsia="標楷體" w:hAnsi="標楷體"/>
          <w:b/>
          <w:szCs w:val="36"/>
        </w:rPr>
      </w:pPr>
      <w:r w:rsidRPr="00F05BBB">
        <w:rPr>
          <w:rFonts w:ascii="標楷體" w:eastAsia="標楷體" w:hAnsi="標楷體" w:hint="eastAsia"/>
          <w:b/>
          <w:szCs w:val="36"/>
        </w:rPr>
        <w:t>壹、歲入預算執行情形</w:t>
      </w:r>
    </w:p>
    <w:p w:rsidR="00AE45C2" w:rsidRPr="00E42C8D" w:rsidRDefault="00D00F53" w:rsidP="00E42C8D">
      <w:pPr>
        <w:pStyle w:val="5"/>
        <w:snapToGrid w:val="0"/>
        <w:spacing w:line="336" w:lineRule="auto"/>
        <w:ind w:left="0" w:firstLine="567"/>
        <w:rPr>
          <w:rFonts w:ascii="標楷體" w:eastAsia="標楷體" w:hAnsi="標楷體"/>
          <w:sz w:val="28"/>
        </w:rPr>
      </w:pPr>
      <w:proofErr w:type="gramStart"/>
      <w:r w:rsidRPr="00E42C8D">
        <w:rPr>
          <w:rFonts w:ascii="標楷體" w:eastAsia="標楷體" w:hAnsi="標楷體" w:hint="eastAsia"/>
          <w:sz w:val="28"/>
        </w:rPr>
        <w:t>109</w:t>
      </w:r>
      <w:proofErr w:type="gramEnd"/>
      <w:r w:rsidR="00AE45C2" w:rsidRPr="00E42C8D">
        <w:rPr>
          <w:rFonts w:ascii="標楷體" w:eastAsia="標楷體" w:hAnsi="標楷體" w:hint="eastAsia"/>
          <w:sz w:val="28"/>
        </w:rPr>
        <w:t>年度</w:t>
      </w:r>
      <w:r w:rsidR="002E0139" w:rsidRPr="00E42C8D">
        <w:rPr>
          <w:rFonts w:ascii="標楷體" w:eastAsia="標楷體" w:hAnsi="標楷體" w:hint="eastAsia"/>
          <w:sz w:val="28"/>
        </w:rPr>
        <w:t>（</w:t>
      </w:r>
      <w:r w:rsidR="00AE45C2" w:rsidRPr="00E42C8D">
        <w:rPr>
          <w:rFonts w:ascii="標楷體" w:eastAsia="標楷體" w:hAnsi="標楷體" w:hint="eastAsia"/>
          <w:sz w:val="28"/>
        </w:rPr>
        <w:t>以下</w:t>
      </w:r>
      <w:r w:rsidR="00695FF0" w:rsidRPr="00E42C8D">
        <w:rPr>
          <w:rFonts w:ascii="標楷體" w:eastAsia="標楷體" w:hAnsi="標楷體" w:hint="eastAsia"/>
          <w:sz w:val="28"/>
        </w:rPr>
        <w:t>簡</w:t>
      </w:r>
      <w:r w:rsidR="00AE45C2" w:rsidRPr="00E42C8D">
        <w:rPr>
          <w:rFonts w:ascii="標楷體" w:eastAsia="標楷體" w:hAnsi="標楷體" w:hint="eastAsia"/>
          <w:sz w:val="28"/>
        </w:rPr>
        <w:t>稱本年度</w:t>
      </w:r>
      <w:r w:rsidR="002E0139" w:rsidRPr="00E42C8D">
        <w:rPr>
          <w:rFonts w:ascii="標楷體" w:eastAsia="標楷體" w:hAnsi="標楷體" w:hint="eastAsia"/>
          <w:sz w:val="28"/>
        </w:rPr>
        <w:t>）</w:t>
      </w:r>
      <w:r w:rsidR="00AE45C2" w:rsidRPr="00E42C8D">
        <w:rPr>
          <w:rFonts w:ascii="標楷體" w:eastAsia="標楷體" w:hAnsi="標楷體" w:hint="eastAsia"/>
          <w:sz w:val="28"/>
        </w:rPr>
        <w:t>中央政府總預算歲入</w:t>
      </w:r>
      <w:r w:rsidR="00A8367A" w:rsidRPr="00E42C8D">
        <w:rPr>
          <w:rFonts w:ascii="標楷體" w:eastAsia="標楷體" w:hAnsi="標楷體" w:hint="eastAsia"/>
          <w:sz w:val="28"/>
        </w:rPr>
        <w:t>2</w:t>
      </w:r>
      <w:r w:rsidR="00C136AA" w:rsidRPr="00E42C8D">
        <w:rPr>
          <w:rFonts w:ascii="標楷體" w:eastAsia="標楷體" w:hAnsi="標楷體" w:hint="eastAsia"/>
          <w:sz w:val="28"/>
        </w:rPr>
        <w:t>兆</w:t>
      </w:r>
      <w:r w:rsidR="00A8367A" w:rsidRPr="00E42C8D">
        <w:rPr>
          <w:rFonts w:ascii="標楷體" w:eastAsia="標楷體" w:hAnsi="標楷體" w:hint="eastAsia"/>
          <w:sz w:val="28"/>
        </w:rPr>
        <w:t>1</w:t>
      </w:r>
      <w:r w:rsidR="00450488" w:rsidRPr="00E42C8D">
        <w:rPr>
          <w:rFonts w:ascii="標楷體" w:eastAsia="標楷體" w:hAnsi="標楷體" w:hint="eastAsia"/>
          <w:sz w:val="28"/>
        </w:rPr>
        <w:t>,</w:t>
      </w:r>
      <w:r w:rsidR="00A8367A" w:rsidRPr="00E42C8D">
        <w:rPr>
          <w:rFonts w:ascii="標楷體" w:eastAsia="標楷體" w:hAnsi="標楷體" w:hint="eastAsia"/>
          <w:sz w:val="28"/>
        </w:rPr>
        <w:t>070</w:t>
      </w:r>
      <w:r w:rsidR="00C136AA" w:rsidRPr="00E42C8D">
        <w:rPr>
          <w:rFonts w:ascii="標楷體" w:eastAsia="標楷體" w:hAnsi="標楷體" w:hint="eastAsia"/>
          <w:sz w:val="28"/>
        </w:rPr>
        <w:t>億</w:t>
      </w:r>
      <w:r w:rsidR="00505F85" w:rsidRPr="00E42C8D">
        <w:rPr>
          <w:rFonts w:ascii="標楷體" w:eastAsia="標楷體" w:hAnsi="標楷體" w:hint="eastAsia"/>
          <w:sz w:val="28"/>
        </w:rPr>
        <w:t>餘</w:t>
      </w:r>
      <w:r w:rsidR="00C136AA" w:rsidRPr="00E42C8D">
        <w:rPr>
          <w:rFonts w:ascii="標楷體" w:eastAsia="標楷體" w:hAnsi="標楷體" w:hint="eastAsia"/>
          <w:sz w:val="28"/>
        </w:rPr>
        <w:t>元</w:t>
      </w:r>
      <w:r w:rsidR="00915F41" w:rsidRPr="00E42C8D">
        <w:rPr>
          <w:rFonts w:ascii="標楷體" w:eastAsia="標楷體" w:hAnsi="標楷體" w:hint="eastAsia"/>
          <w:sz w:val="28"/>
        </w:rPr>
        <w:t>，</w:t>
      </w:r>
      <w:r w:rsidR="00AE45C2" w:rsidRPr="00E42C8D">
        <w:rPr>
          <w:rFonts w:ascii="標楷體" w:eastAsia="標楷體" w:hAnsi="標楷體" w:hint="eastAsia"/>
          <w:sz w:val="28"/>
        </w:rPr>
        <w:t>截至6月底</w:t>
      </w:r>
      <w:proofErr w:type="gramStart"/>
      <w:r w:rsidR="00AE45C2" w:rsidRPr="00E42C8D">
        <w:rPr>
          <w:rFonts w:ascii="標楷體" w:eastAsia="標楷體" w:hAnsi="標楷體" w:hint="eastAsia"/>
          <w:sz w:val="28"/>
        </w:rPr>
        <w:t>止</w:t>
      </w:r>
      <w:proofErr w:type="gramEnd"/>
      <w:r w:rsidR="00AE45C2" w:rsidRPr="00E42C8D">
        <w:rPr>
          <w:rFonts w:ascii="標楷體" w:eastAsia="標楷體" w:hAnsi="標楷體" w:hint="eastAsia"/>
          <w:sz w:val="28"/>
        </w:rPr>
        <w:t>執行數</w:t>
      </w:r>
      <w:r w:rsidR="000D5C7A" w:rsidRPr="00E42C8D">
        <w:rPr>
          <w:rFonts w:ascii="標楷體" w:eastAsia="標楷體" w:hAnsi="標楷體" w:hint="eastAsia"/>
          <w:sz w:val="28"/>
        </w:rPr>
        <w:t>（含實現數及</w:t>
      </w:r>
      <w:r w:rsidR="00AB4947" w:rsidRPr="00E42C8D">
        <w:rPr>
          <w:rFonts w:ascii="標楷體" w:eastAsia="標楷體" w:hAnsi="標楷體" w:hint="eastAsia"/>
          <w:sz w:val="28"/>
        </w:rPr>
        <w:t>預</w:t>
      </w:r>
      <w:r w:rsidR="000D5C7A" w:rsidRPr="00E42C8D">
        <w:rPr>
          <w:rFonts w:ascii="標楷體" w:eastAsia="標楷體" w:hAnsi="標楷體" w:hint="eastAsia"/>
          <w:sz w:val="28"/>
        </w:rPr>
        <w:t>收數，以下同</w:t>
      </w:r>
      <w:r w:rsidR="005403D6" w:rsidRPr="00E42C8D">
        <w:rPr>
          <w:rFonts w:ascii="標楷體" w:eastAsia="標楷體" w:hAnsi="標楷體" w:hint="eastAsia"/>
          <w:sz w:val="28"/>
        </w:rPr>
        <w:t>）</w:t>
      </w:r>
      <w:r w:rsidR="005403D6" w:rsidRPr="00E42C8D">
        <w:rPr>
          <w:rFonts w:ascii="標楷體" w:eastAsia="標楷體" w:hAnsi="標楷體" w:hint="eastAsia"/>
          <w:color w:val="FFFFFF" w:themeColor="background1"/>
          <w:sz w:val="28"/>
        </w:rPr>
        <w:t>1</w:t>
      </w:r>
      <w:r w:rsidR="00185801" w:rsidRPr="00E42C8D">
        <w:rPr>
          <w:rFonts w:ascii="標楷體" w:eastAsia="標楷體" w:hAnsi="標楷體" w:hint="eastAsia"/>
          <w:sz w:val="28"/>
        </w:rPr>
        <w:t>9,088</w:t>
      </w:r>
      <w:r w:rsidR="000F2234" w:rsidRPr="00E42C8D">
        <w:rPr>
          <w:rFonts w:ascii="標楷體" w:eastAsia="標楷體" w:hAnsi="標楷體" w:hint="eastAsia"/>
          <w:sz w:val="28"/>
        </w:rPr>
        <w:t>億</w:t>
      </w:r>
      <w:r w:rsidR="00505F85" w:rsidRPr="00E42C8D">
        <w:rPr>
          <w:rFonts w:ascii="標楷體" w:eastAsia="標楷體" w:hAnsi="標楷體" w:hint="eastAsia"/>
          <w:sz w:val="28"/>
        </w:rPr>
        <w:t>餘</w:t>
      </w:r>
      <w:r w:rsidR="000F2234" w:rsidRPr="00E42C8D">
        <w:rPr>
          <w:rFonts w:ascii="標楷體" w:eastAsia="標楷體" w:hAnsi="標楷體" w:hint="eastAsia"/>
          <w:sz w:val="28"/>
        </w:rPr>
        <w:t>元</w:t>
      </w:r>
      <w:r w:rsidR="00AE45C2" w:rsidRPr="00E42C8D">
        <w:rPr>
          <w:rFonts w:ascii="標楷體" w:eastAsia="標楷體" w:hAnsi="標楷體" w:hint="eastAsia"/>
          <w:sz w:val="28"/>
        </w:rPr>
        <w:t>，占分配數</w:t>
      </w:r>
      <w:r w:rsidR="00CD4DA9" w:rsidRPr="00E42C8D">
        <w:rPr>
          <w:rFonts w:ascii="標楷體" w:eastAsia="標楷體" w:hAnsi="標楷體" w:hint="eastAsia"/>
          <w:sz w:val="28"/>
        </w:rPr>
        <w:t>1兆</w:t>
      </w:r>
      <w:r w:rsidR="00185801" w:rsidRPr="00E42C8D">
        <w:rPr>
          <w:rFonts w:ascii="標楷體" w:eastAsia="標楷體" w:hAnsi="標楷體" w:hint="eastAsia"/>
          <w:sz w:val="28"/>
        </w:rPr>
        <w:t>1,24</w:t>
      </w:r>
      <w:r w:rsidR="005F7C4D" w:rsidRPr="00E42C8D">
        <w:rPr>
          <w:rFonts w:ascii="標楷體" w:eastAsia="標楷體" w:hAnsi="標楷體" w:hint="eastAsia"/>
          <w:sz w:val="28"/>
        </w:rPr>
        <w:t>3</w:t>
      </w:r>
      <w:r w:rsidR="00AE45C2" w:rsidRPr="00E42C8D">
        <w:rPr>
          <w:rFonts w:ascii="標楷體" w:eastAsia="標楷體" w:hAnsi="標楷體" w:hint="eastAsia"/>
          <w:sz w:val="28"/>
        </w:rPr>
        <w:t>億</w:t>
      </w:r>
      <w:r w:rsidR="00505F85" w:rsidRPr="00E42C8D">
        <w:rPr>
          <w:rFonts w:ascii="標楷體" w:eastAsia="標楷體" w:hAnsi="標楷體" w:hint="eastAsia"/>
          <w:sz w:val="28"/>
        </w:rPr>
        <w:t>餘</w:t>
      </w:r>
      <w:r w:rsidR="00AE45C2" w:rsidRPr="00E42C8D">
        <w:rPr>
          <w:rFonts w:ascii="標楷體" w:eastAsia="標楷體" w:hAnsi="標楷體" w:hint="eastAsia"/>
          <w:sz w:val="28"/>
        </w:rPr>
        <w:t>元之</w:t>
      </w:r>
      <w:r w:rsidR="00185801" w:rsidRPr="00E42C8D">
        <w:rPr>
          <w:rFonts w:ascii="標楷體" w:eastAsia="標楷體" w:hAnsi="標楷體" w:hint="eastAsia"/>
          <w:sz w:val="28"/>
        </w:rPr>
        <w:t>80.8</w:t>
      </w:r>
      <w:r w:rsidR="00AE45C2" w:rsidRPr="00E42C8D">
        <w:rPr>
          <w:rFonts w:ascii="標楷體" w:eastAsia="標楷體" w:hAnsi="標楷體" w:hint="eastAsia"/>
          <w:sz w:val="28"/>
        </w:rPr>
        <w:t>％，</w:t>
      </w:r>
      <w:r w:rsidR="00795A5F" w:rsidRPr="00E42C8D">
        <w:rPr>
          <w:rFonts w:ascii="標楷體" w:eastAsia="標楷體" w:hAnsi="標楷體" w:hint="eastAsia"/>
          <w:sz w:val="28"/>
        </w:rPr>
        <w:t>較預計</w:t>
      </w:r>
      <w:r w:rsidR="00185801" w:rsidRPr="00E42C8D">
        <w:rPr>
          <w:rFonts w:ascii="標楷體" w:eastAsia="標楷體" w:hAnsi="標楷體" w:hint="eastAsia"/>
          <w:sz w:val="28"/>
          <w:lang w:eastAsia="zh-HK"/>
        </w:rPr>
        <w:t>減少</w:t>
      </w:r>
      <w:r w:rsidR="00185801" w:rsidRPr="00E42C8D">
        <w:rPr>
          <w:rFonts w:ascii="標楷體" w:eastAsia="標楷體" w:hAnsi="標楷體" w:hint="eastAsia"/>
          <w:sz w:val="28"/>
        </w:rPr>
        <w:t>2,15</w:t>
      </w:r>
      <w:r w:rsidR="005F7C4D" w:rsidRPr="00E42C8D">
        <w:rPr>
          <w:rFonts w:ascii="標楷體" w:eastAsia="標楷體" w:hAnsi="標楷體" w:hint="eastAsia"/>
          <w:sz w:val="28"/>
        </w:rPr>
        <w:t>5</w:t>
      </w:r>
      <w:r w:rsidR="00795A5F" w:rsidRPr="00E42C8D">
        <w:rPr>
          <w:rFonts w:ascii="標楷體" w:eastAsia="標楷體" w:hAnsi="標楷體" w:hint="eastAsia"/>
          <w:sz w:val="28"/>
        </w:rPr>
        <w:t>億</w:t>
      </w:r>
      <w:r w:rsidR="00ED016E" w:rsidRPr="00E42C8D">
        <w:rPr>
          <w:rFonts w:ascii="標楷體" w:eastAsia="標楷體" w:hAnsi="標楷體" w:hint="eastAsia"/>
          <w:sz w:val="28"/>
        </w:rPr>
        <w:t>餘</w:t>
      </w:r>
      <w:r w:rsidR="00795A5F" w:rsidRPr="00E42C8D">
        <w:rPr>
          <w:rFonts w:ascii="標楷體" w:eastAsia="標楷體" w:hAnsi="標楷體" w:hint="eastAsia"/>
          <w:sz w:val="28"/>
        </w:rPr>
        <w:t>元</w:t>
      </w:r>
      <w:r w:rsidR="00FE162D" w:rsidRPr="00E42C8D">
        <w:rPr>
          <w:rFonts w:ascii="標楷體" w:eastAsia="標楷體" w:hAnsi="標楷體" w:hint="eastAsia"/>
          <w:sz w:val="28"/>
        </w:rPr>
        <w:t>。</w:t>
      </w:r>
      <w:r w:rsidR="00692012" w:rsidRPr="00E42C8D">
        <w:rPr>
          <w:rFonts w:ascii="標楷體" w:eastAsia="標楷體" w:hAnsi="標楷體" w:hint="eastAsia"/>
          <w:sz w:val="28"/>
        </w:rPr>
        <w:t>茲依歲入</w:t>
      </w:r>
      <w:r w:rsidR="000A3E92" w:rsidRPr="00E42C8D">
        <w:rPr>
          <w:rFonts w:ascii="標楷體" w:eastAsia="標楷體" w:hAnsi="標楷體" w:hint="eastAsia"/>
          <w:sz w:val="28"/>
        </w:rPr>
        <w:t>來源</w:t>
      </w:r>
      <w:r w:rsidR="00AE45C2" w:rsidRPr="00E42C8D">
        <w:rPr>
          <w:rFonts w:ascii="標楷體" w:eastAsia="標楷體" w:hAnsi="標楷體" w:hint="eastAsia"/>
          <w:sz w:val="28"/>
        </w:rPr>
        <w:t>別執行情形</w:t>
      </w:r>
      <w:r w:rsidR="00A87BC5" w:rsidRPr="00E42C8D">
        <w:rPr>
          <w:rFonts w:ascii="標楷體" w:eastAsia="標楷體" w:hAnsi="標楷體" w:hint="eastAsia"/>
          <w:sz w:val="28"/>
        </w:rPr>
        <w:t>（圖1）</w:t>
      </w:r>
      <w:r w:rsidR="00AE45C2" w:rsidRPr="00E42C8D">
        <w:rPr>
          <w:rFonts w:ascii="標楷體" w:eastAsia="標楷體" w:hAnsi="標楷體" w:hint="eastAsia"/>
          <w:sz w:val="28"/>
        </w:rPr>
        <w:t>分述如下：</w:t>
      </w:r>
    </w:p>
    <w:p w:rsidR="0058532F" w:rsidRPr="00E42C8D" w:rsidRDefault="00AE45C2" w:rsidP="00E42C8D">
      <w:pPr>
        <w:pStyle w:val="7"/>
        <w:kinsoku w:val="0"/>
        <w:overflowPunct w:val="0"/>
        <w:autoSpaceDE w:val="0"/>
        <w:autoSpaceDN w:val="0"/>
        <w:snapToGrid w:val="0"/>
        <w:spacing w:line="336" w:lineRule="auto"/>
        <w:ind w:left="510" w:hanging="510"/>
        <w:rPr>
          <w:rFonts w:ascii="標楷體" w:eastAsia="標楷體" w:hAnsi="標楷體"/>
          <w:sz w:val="28"/>
        </w:rPr>
      </w:pPr>
      <w:r w:rsidRPr="00E42C8D">
        <w:rPr>
          <w:rFonts w:ascii="標楷體" w:eastAsia="標楷體" w:hAnsi="標楷體" w:hint="eastAsia"/>
          <w:sz w:val="28"/>
        </w:rPr>
        <w:t>一、稅課收入：預算數</w:t>
      </w:r>
      <w:r w:rsidR="002B6D71" w:rsidRPr="00E42C8D">
        <w:rPr>
          <w:rFonts w:ascii="標楷體" w:eastAsia="標楷體" w:hAnsi="標楷體" w:hint="eastAsia"/>
          <w:sz w:val="28"/>
        </w:rPr>
        <w:t>1</w:t>
      </w:r>
      <w:r w:rsidR="00797B19" w:rsidRPr="00E42C8D">
        <w:rPr>
          <w:rFonts w:ascii="標楷體" w:eastAsia="標楷體" w:hAnsi="標楷體" w:hint="eastAsia"/>
          <w:sz w:val="28"/>
        </w:rPr>
        <w:t>兆</w:t>
      </w:r>
      <w:r w:rsidR="004E00C9" w:rsidRPr="00E42C8D">
        <w:rPr>
          <w:rFonts w:ascii="標楷體" w:eastAsia="標楷體" w:hAnsi="標楷體"/>
          <w:sz w:val="28"/>
        </w:rPr>
        <w:t>6</w:t>
      </w:r>
      <w:r w:rsidR="00DD5B7E" w:rsidRPr="00E42C8D">
        <w:rPr>
          <w:rFonts w:ascii="標楷體" w:eastAsia="標楷體" w:hAnsi="標楷體" w:hint="eastAsia"/>
          <w:sz w:val="28"/>
        </w:rPr>
        <w:t>,</w:t>
      </w:r>
      <w:r w:rsidR="00A8367A" w:rsidRPr="00E42C8D">
        <w:rPr>
          <w:rFonts w:ascii="標楷體" w:eastAsia="標楷體" w:hAnsi="標楷體" w:hint="eastAsia"/>
          <w:sz w:val="28"/>
        </w:rPr>
        <w:t>79</w:t>
      </w:r>
      <w:r w:rsidR="005F7C4D" w:rsidRPr="00E42C8D">
        <w:rPr>
          <w:rFonts w:ascii="標楷體" w:eastAsia="標楷體" w:hAnsi="標楷體" w:hint="eastAsia"/>
          <w:sz w:val="28"/>
        </w:rPr>
        <w:t>5</w:t>
      </w:r>
      <w:r w:rsidR="000F2234" w:rsidRPr="00E42C8D">
        <w:rPr>
          <w:rFonts w:ascii="標楷體" w:eastAsia="標楷體" w:hAnsi="標楷體" w:hint="eastAsia"/>
          <w:sz w:val="28"/>
        </w:rPr>
        <w:t>億</w:t>
      </w:r>
      <w:r w:rsidR="00505F85" w:rsidRPr="00E42C8D">
        <w:rPr>
          <w:rFonts w:ascii="標楷體" w:eastAsia="標楷體" w:hAnsi="標楷體" w:hint="eastAsia"/>
          <w:sz w:val="28"/>
        </w:rPr>
        <w:t>餘</w:t>
      </w:r>
      <w:r w:rsidR="000F2234" w:rsidRPr="00E42C8D">
        <w:rPr>
          <w:rFonts w:ascii="標楷體" w:eastAsia="標楷體" w:hAnsi="標楷體" w:hint="eastAsia"/>
          <w:sz w:val="28"/>
        </w:rPr>
        <w:t>元</w:t>
      </w:r>
      <w:r w:rsidRPr="00E42C8D">
        <w:rPr>
          <w:rFonts w:ascii="標楷體" w:eastAsia="標楷體" w:hAnsi="標楷體" w:hint="eastAsia"/>
          <w:sz w:val="28"/>
        </w:rPr>
        <w:t>，執行數</w:t>
      </w:r>
      <w:r w:rsidR="00B83B17" w:rsidRPr="00E42C8D">
        <w:rPr>
          <w:rFonts w:ascii="標楷體" w:eastAsia="標楷體" w:hAnsi="標楷體" w:hint="eastAsia"/>
          <w:sz w:val="28"/>
        </w:rPr>
        <w:t>5,96</w:t>
      </w:r>
      <w:r w:rsidR="005F7C4D" w:rsidRPr="00E42C8D">
        <w:rPr>
          <w:rFonts w:ascii="標楷體" w:eastAsia="標楷體" w:hAnsi="標楷體" w:hint="eastAsia"/>
          <w:sz w:val="28"/>
        </w:rPr>
        <w:t>4</w:t>
      </w:r>
      <w:r w:rsidR="000F2234" w:rsidRPr="00E42C8D">
        <w:rPr>
          <w:rFonts w:ascii="標楷體" w:eastAsia="標楷體" w:hAnsi="標楷體" w:hint="eastAsia"/>
          <w:sz w:val="28"/>
        </w:rPr>
        <w:t>億</w:t>
      </w:r>
      <w:r w:rsidR="00505F85" w:rsidRPr="00E42C8D">
        <w:rPr>
          <w:rFonts w:ascii="標楷體" w:eastAsia="標楷體" w:hAnsi="標楷體" w:hint="eastAsia"/>
          <w:sz w:val="28"/>
        </w:rPr>
        <w:t>餘</w:t>
      </w:r>
      <w:r w:rsidR="000F2234" w:rsidRPr="00E42C8D">
        <w:rPr>
          <w:rFonts w:ascii="標楷體" w:eastAsia="標楷體" w:hAnsi="標楷體" w:hint="eastAsia"/>
          <w:sz w:val="28"/>
        </w:rPr>
        <w:t>元</w:t>
      </w:r>
      <w:r w:rsidRPr="00E42C8D">
        <w:rPr>
          <w:rFonts w:ascii="標楷體" w:eastAsia="標楷體" w:hAnsi="標楷體" w:hint="eastAsia"/>
          <w:sz w:val="28"/>
        </w:rPr>
        <w:t>，占分配數</w:t>
      </w:r>
      <w:r w:rsidR="004E00C9" w:rsidRPr="00E42C8D">
        <w:rPr>
          <w:rFonts w:ascii="標楷體" w:eastAsia="標楷體" w:hAnsi="標楷體" w:hint="eastAsia"/>
          <w:sz w:val="28"/>
        </w:rPr>
        <w:t>9</w:t>
      </w:r>
      <w:r w:rsidR="00AB4947" w:rsidRPr="00E42C8D">
        <w:rPr>
          <w:rFonts w:ascii="標楷體" w:eastAsia="標楷體" w:hAnsi="標楷體" w:hint="eastAsia"/>
          <w:sz w:val="28"/>
        </w:rPr>
        <w:t>,</w:t>
      </w:r>
      <w:r w:rsidR="00B83B17" w:rsidRPr="00E42C8D">
        <w:rPr>
          <w:rFonts w:ascii="標楷體" w:eastAsia="標楷體" w:hAnsi="標楷體" w:hint="eastAsia"/>
          <w:sz w:val="28"/>
        </w:rPr>
        <w:t>359</w:t>
      </w:r>
      <w:r w:rsidR="000F2234" w:rsidRPr="00E42C8D">
        <w:rPr>
          <w:rFonts w:ascii="標楷體" w:eastAsia="標楷體" w:hAnsi="標楷體" w:hint="eastAsia"/>
          <w:sz w:val="28"/>
        </w:rPr>
        <w:t>億</w:t>
      </w:r>
      <w:r w:rsidR="00505F85" w:rsidRPr="00E42C8D">
        <w:rPr>
          <w:rFonts w:ascii="標楷體" w:eastAsia="標楷體" w:hAnsi="標楷體" w:hint="eastAsia"/>
          <w:sz w:val="28"/>
        </w:rPr>
        <w:t>餘</w:t>
      </w:r>
      <w:r w:rsidR="000F2234" w:rsidRPr="00E42C8D">
        <w:rPr>
          <w:rFonts w:ascii="標楷體" w:eastAsia="標楷體" w:hAnsi="標楷體" w:hint="eastAsia"/>
          <w:sz w:val="28"/>
        </w:rPr>
        <w:t>元</w:t>
      </w:r>
      <w:r w:rsidRPr="00E42C8D">
        <w:rPr>
          <w:rFonts w:ascii="標楷體" w:eastAsia="標楷體" w:hAnsi="標楷體" w:hint="eastAsia"/>
          <w:sz w:val="28"/>
        </w:rPr>
        <w:t>之</w:t>
      </w:r>
      <w:r w:rsidR="00B83B17" w:rsidRPr="00E42C8D">
        <w:rPr>
          <w:rFonts w:ascii="標楷體" w:eastAsia="標楷體" w:hAnsi="標楷體" w:hint="eastAsia"/>
          <w:sz w:val="28"/>
        </w:rPr>
        <w:t>63.7</w:t>
      </w:r>
      <w:r w:rsidRPr="00E42C8D">
        <w:rPr>
          <w:rFonts w:ascii="標楷體" w:eastAsia="標楷體" w:hAnsi="標楷體" w:hint="eastAsia"/>
          <w:sz w:val="28"/>
        </w:rPr>
        <w:t>％</w:t>
      </w:r>
      <w:r w:rsidR="00164652" w:rsidRPr="00E42C8D">
        <w:rPr>
          <w:rFonts w:ascii="標楷體" w:eastAsia="標楷體" w:hAnsi="標楷體" w:hint="eastAsia"/>
          <w:sz w:val="28"/>
        </w:rPr>
        <w:t>，</w:t>
      </w:r>
      <w:r w:rsidR="00B83B17" w:rsidRPr="00E42C8D">
        <w:rPr>
          <w:rFonts w:ascii="標楷體" w:eastAsia="標楷體" w:hAnsi="標楷體" w:hint="eastAsia"/>
          <w:sz w:val="28"/>
          <w:lang w:eastAsia="zh-HK"/>
        </w:rPr>
        <w:t>減少</w:t>
      </w:r>
      <w:r w:rsidR="00B83B17" w:rsidRPr="00E42C8D">
        <w:rPr>
          <w:rFonts w:ascii="標楷體" w:eastAsia="標楷體" w:hAnsi="標楷體" w:hint="eastAsia"/>
          <w:sz w:val="28"/>
        </w:rPr>
        <w:t>3,394</w:t>
      </w:r>
      <w:r w:rsidR="00164652" w:rsidRPr="00E42C8D">
        <w:rPr>
          <w:rFonts w:ascii="標楷體" w:eastAsia="標楷體" w:hAnsi="標楷體" w:hint="eastAsia"/>
          <w:sz w:val="28"/>
        </w:rPr>
        <w:t>億</w:t>
      </w:r>
      <w:r w:rsidR="00505F85" w:rsidRPr="00E42C8D">
        <w:rPr>
          <w:rFonts w:ascii="標楷體" w:eastAsia="標楷體" w:hAnsi="標楷體" w:hint="eastAsia"/>
          <w:sz w:val="28"/>
        </w:rPr>
        <w:t>餘</w:t>
      </w:r>
      <w:r w:rsidR="00164652" w:rsidRPr="00E42C8D">
        <w:rPr>
          <w:rFonts w:ascii="標楷體" w:eastAsia="標楷體" w:hAnsi="標楷體" w:hint="eastAsia"/>
          <w:sz w:val="28"/>
        </w:rPr>
        <w:t>元，主要係</w:t>
      </w:r>
      <w:r w:rsidR="005F7C4D" w:rsidRPr="00E42C8D">
        <w:rPr>
          <w:rFonts w:ascii="標楷體" w:eastAsia="標楷體" w:hAnsi="標楷體" w:hint="eastAsia"/>
          <w:sz w:val="28"/>
          <w:lang w:eastAsia="zh-HK"/>
        </w:rPr>
        <w:t>受嚴重特殊傳染性肺炎（COVID－19）</w:t>
      </w:r>
      <w:proofErr w:type="gramStart"/>
      <w:r w:rsidR="005F7C4D" w:rsidRPr="00E42C8D">
        <w:rPr>
          <w:rFonts w:ascii="標楷體" w:eastAsia="標楷體" w:hAnsi="標楷體" w:hint="eastAsia"/>
          <w:sz w:val="28"/>
          <w:lang w:eastAsia="zh-HK"/>
        </w:rPr>
        <w:t>疫</w:t>
      </w:r>
      <w:proofErr w:type="gramEnd"/>
      <w:r w:rsidR="005F7C4D" w:rsidRPr="00E42C8D">
        <w:rPr>
          <w:rFonts w:ascii="標楷體" w:eastAsia="標楷體" w:hAnsi="標楷體" w:hint="eastAsia"/>
          <w:sz w:val="28"/>
          <w:lang w:eastAsia="zh-HK"/>
        </w:rPr>
        <w:t>情影響</w:t>
      </w:r>
      <w:r w:rsidR="00E56ED3" w:rsidRPr="00E42C8D">
        <w:rPr>
          <w:rFonts w:ascii="標楷體" w:eastAsia="標楷體" w:hAnsi="標楷體" w:hint="eastAsia"/>
          <w:sz w:val="28"/>
        </w:rPr>
        <w:t>，</w:t>
      </w:r>
      <w:r w:rsidR="00E56ED3" w:rsidRPr="00E42C8D">
        <w:rPr>
          <w:rFonts w:ascii="標楷體" w:eastAsia="標楷體" w:hAnsi="標楷體" w:hint="eastAsia"/>
          <w:sz w:val="28"/>
          <w:lang w:eastAsia="zh-HK"/>
        </w:rPr>
        <w:t>所得稅申報期限延長至</w:t>
      </w:r>
      <w:r w:rsidR="00E56ED3" w:rsidRPr="00E42C8D">
        <w:rPr>
          <w:rFonts w:ascii="標楷體" w:eastAsia="標楷體" w:hAnsi="標楷體" w:hint="eastAsia"/>
          <w:sz w:val="28"/>
        </w:rPr>
        <w:t>6</w:t>
      </w:r>
      <w:r w:rsidR="00E56ED3" w:rsidRPr="00E42C8D">
        <w:rPr>
          <w:rFonts w:ascii="標楷體" w:eastAsia="標楷體" w:hAnsi="標楷體" w:hint="eastAsia"/>
          <w:sz w:val="28"/>
          <w:lang w:eastAsia="zh-HK"/>
        </w:rPr>
        <w:t>月</w:t>
      </w:r>
      <w:r w:rsidR="00E56ED3" w:rsidRPr="00E42C8D">
        <w:rPr>
          <w:rFonts w:ascii="標楷體" w:eastAsia="標楷體" w:hAnsi="標楷體" w:hint="eastAsia"/>
          <w:sz w:val="28"/>
        </w:rPr>
        <w:t>30</w:t>
      </w:r>
      <w:r w:rsidR="00E56ED3" w:rsidRPr="00E42C8D">
        <w:rPr>
          <w:rFonts w:ascii="標楷體" w:eastAsia="標楷體" w:hAnsi="標楷體" w:hint="eastAsia"/>
          <w:sz w:val="28"/>
          <w:lang w:eastAsia="zh-HK"/>
        </w:rPr>
        <w:t>日</w:t>
      </w:r>
      <w:r w:rsidR="005F7C4D" w:rsidRPr="00E42C8D">
        <w:rPr>
          <w:rFonts w:ascii="標楷體" w:eastAsia="標楷體" w:hAnsi="標楷體" w:hint="eastAsia"/>
          <w:sz w:val="28"/>
        </w:rPr>
        <w:t>，</w:t>
      </w:r>
      <w:r w:rsidR="005F7C4D" w:rsidRPr="00E42C8D">
        <w:rPr>
          <w:rFonts w:ascii="標楷體" w:eastAsia="標楷體" w:hAnsi="標楷體" w:hint="eastAsia"/>
          <w:sz w:val="28"/>
          <w:lang w:eastAsia="zh-HK"/>
        </w:rPr>
        <w:t>部分</w:t>
      </w:r>
      <w:r w:rsidR="008044CD" w:rsidRPr="00E42C8D">
        <w:rPr>
          <w:rFonts w:ascii="標楷體" w:eastAsia="標楷體" w:hAnsi="標楷體" w:hint="eastAsia"/>
          <w:sz w:val="28"/>
          <w:lang w:eastAsia="zh-HK"/>
        </w:rPr>
        <w:t>稅收</w:t>
      </w:r>
      <w:r w:rsidR="005F7C4D" w:rsidRPr="00E42C8D">
        <w:rPr>
          <w:rFonts w:ascii="標楷體" w:eastAsia="標楷體" w:hAnsi="標楷體" w:hint="eastAsia"/>
          <w:sz w:val="28"/>
          <w:lang w:eastAsia="zh-HK"/>
        </w:rPr>
        <w:t>繳款方式延至次月</w:t>
      </w:r>
      <w:proofErr w:type="gramStart"/>
      <w:r w:rsidR="005F7C4D" w:rsidRPr="00E42C8D">
        <w:rPr>
          <w:rFonts w:ascii="標楷體" w:eastAsia="標楷體" w:hAnsi="標楷體" w:hint="eastAsia"/>
          <w:sz w:val="28"/>
          <w:lang w:eastAsia="zh-HK"/>
        </w:rPr>
        <w:t>入帳</w:t>
      </w:r>
      <w:proofErr w:type="gramEnd"/>
      <w:r w:rsidR="005F7C4D" w:rsidRPr="00E42C8D">
        <w:rPr>
          <w:rFonts w:ascii="標楷體" w:eastAsia="標楷體" w:hAnsi="標楷體" w:hint="eastAsia"/>
          <w:sz w:val="28"/>
          <w:lang w:eastAsia="zh-HK"/>
        </w:rPr>
        <w:t>所</w:t>
      </w:r>
      <w:r w:rsidR="00932388" w:rsidRPr="00E42C8D">
        <w:rPr>
          <w:rFonts w:ascii="標楷體" w:eastAsia="標楷體" w:hAnsi="標楷體" w:hint="eastAsia"/>
          <w:sz w:val="28"/>
        </w:rPr>
        <w:t>致。</w:t>
      </w:r>
    </w:p>
    <w:p w:rsidR="00D71A4F" w:rsidRPr="00E42C8D" w:rsidRDefault="00AE45C2" w:rsidP="00E42C8D">
      <w:pPr>
        <w:pStyle w:val="7"/>
        <w:snapToGrid w:val="0"/>
        <w:spacing w:line="336" w:lineRule="auto"/>
        <w:ind w:left="567" w:hanging="567"/>
        <w:rPr>
          <w:rFonts w:ascii="標楷體" w:eastAsia="標楷體" w:hAnsi="標楷體"/>
          <w:sz w:val="28"/>
        </w:rPr>
      </w:pPr>
      <w:r w:rsidRPr="00E42C8D">
        <w:rPr>
          <w:rFonts w:ascii="標楷體" w:eastAsia="標楷體" w:hAnsi="標楷體" w:hint="eastAsia"/>
          <w:sz w:val="28"/>
        </w:rPr>
        <w:t>二、營業盈餘及事業收入：預算數2</w:t>
      </w:r>
      <w:r w:rsidR="00481D05" w:rsidRPr="00E42C8D">
        <w:rPr>
          <w:rFonts w:ascii="標楷體" w:eastAsia="標楷體" w:hAnsi="標楷體" w:hint="eastAsia"/>
          <w:sz w:val="28"/>
        </w:rPr>
        <w:t>,</w:t>
      </w:r>
      <w:r w:rsidR="00A8367A" w:rsidRPr="00E42C8D">
        <w:rPr>
          <w:rFonts w:ascii="標楷體" w:eastAsia="標楷體" w:hAnsi="標楷體" w:hint="eastAsia"/>
          <w:sz w:val="28"/>
        </w:rPr>
        <w:t>44</w:t>
      </w:r>
      <w:r w:rsidR="004D6075" w:rsidRPr="00E42C8D">
        <w:rPr>
          <w:rFonts w:ascii="標楷體" w:eastAsia="標楷體" w:hAnsi="標楷體" w:hint="eastAsia"/>
          <w:sz w:val="28"/>
        </w:rPr>
        <w:t>2</w:t>
      </w:r>
      <w:r w:rsidR="000F2234" w:rsidRPr="00E42C8D">
        <w:rPr>
          <w:rFonts w:ascii="標楷體" w:eastAsia="標楷體" w:hAnsi="標楷體" w:hint="eastAsia"/>
          <w:sz w:val="28"/>
        </w:rPr>
        <w:t>億</w:t>
      </w:r>
      <w:r w:rsidR="00505F85" w:rsidRPr="00E42C8D">
        <w:rPr>
          <w:rFonts w:ascii="標楷體" w:eastAsia="標楷體" w:hAnsi="標楷體" w:hint="eastAsia"/>
          <w:sz w:val="28"/>
        </w:rPr>
        <w:t>餘</w:t>
      </w:r>
      <w:r w:rsidR="000F2234" w:rsidRPr="00E42C8D">
        <w:rPr>
          <w:rFonts w:ascii="標楷體" w:eastAsia="標楷體" w:hAnsi="標楷體" w:hint="eastAsia"/>
          <w:sz w:val="28"/>
        </w:rPr>
        <w:t>元</w:t>
      </w:r>
      <w:r w:rsidRPr="00E42C8D">
        <w:rPr>
          <w:rFonts w:ascii="標楷體" w:eastAsia="標楷體" w:hAnsi="標楷體" w:hint="eastAsia"/>
          <w:sz w:val="28"/>
        </w:rPr>
        <w:t>，執行數</w:t>
      </w:r>
      <w:r w:rsidR="007B6FB7" w:rsidRPr="00E42C8D">
        <w:rPr>
          <w:rFonts w:ascii="標楷體" w:eastAsia="標楷體" w:hAnsi="標楷體" w:hint="eastAsia"/>
          <w:sz w:val="28"/>
        </w:rPr>
        <w:t>9</w:t>
      </w:r>
      <w:r w:rsidR="00B83B17" w:rsidRPr="00E42C8D">
        <w:rPr>
          <w:rFonts w:ascii="標楷體" w:eastAsia="標楷體" w:hAnsi="標楷體" w:hint="eastAsia"/>
          <w:sz w:val="28"/>
        </w:rPr>
        <w:t>6</w:t>
      </w:r>
      <w:r w:rsidR="004D6075" w:rsidRPr="00E42C8D">
        <w:rPr>
          <w:rFonts w:ascii="標楷體" w:eastAsia="標楷體" w:hAnsi="標楷體" w:hint="eastAsia"/>
          <w:sz w:val="28"/>
        </w:rPr>
        <w:t>6</w:t>
      </w:r>
      <w:r w:rsidR="006719C6" w:rsidRPr="00E42C8D">
        <w:rPr>
          <w:rFonts w:ascii="標楷體" w:eastAsia="標楷體" w:hAnsi="標楷體" w:hint="eastAsia"/>
          <w:sz w:val="28"/>
        </w:rPr>
        <w:t>億</w:t>
      </w:r>
      <w:r w:rsidR="00505F85" w:rsidRPr="00E42C8D">
        <w:rPr>
          <w:rFonts w:ascii="標楷體" w:eastAsia="標楷體" w:hAnsi="標楷體" w:hint="eastAsia"/>
          <w:sz w:val="28"/>
        </w:rPr>
        <w:t>餘</w:t>
      </w:r>
      <w:r w:rsidR="000F2234" w:rsidRPr="00E42C8D">
        <w:rPr>
          <w:rFonts w:ascii="標楷體" w:eastAsia="標楷體" w:hAnsi="標楷體" w:hint="eastAsia"/>
          <w:sz w:val="28"/>
        </w:rPr>
        <w:t>元</w:t>
      </w:r>
      <w:r w:rsidRPr="00E42C8D">
        <w:rPr>
          <w:rFonts w:ascii="標楷體" w:eastAsia="標楷體" w:hAnsi="標楷體" w:hint="eastAsia"/>
          <w:sz w:val="28"/>
        </w:rPr>
        <w:t>，</w:t>
      </w:r>
      <w:r w:rsidR="00F5641F" w:rsidRPr="00E42C8D">
        <w:rPr>
          <w:rFonts w:ascii="標楷體" w:eastAsia="標楷體" w:hAnsi="標楷體" w:hint="eastAsia"/>
          <w:sz w:val="28"/>
        </w:rPr>
        <w:t>占分配數</w:t>
      </w:r>
      <w:r w:rsidR="007B6FB7" w:rsidRPr="00E42C8D">
        <w:rPr>
          <w:rFonts w:ascii="標楷體" w:eastAsia="標楷體" w:hAnsi="標楷體" w:hint="eastAsia"/>
          <w:sz w:val="28"/>
        </w:rPr>
        <w:t>9</w:t>
      </w:r>
      <w:r w:rsidR="00B83B17" w:rsidRPr="00E42C8D">
        <w:rPr>
          <w:rFonts w:ascii="標楷體" w:eastAsia="標楷體" w:hAnsi="標楷體" w:hint="eastAsia"/>
          <w:sz w:val="28"/>
        </w:rPr>
        <w:t>7</w:t>
      </w:r>
      <w:r w:rsidR="004D6075" w:rsidRPr="00E42C8D">
        <w:rPr>
          <w:rFonts w:ascii="標楷體" w:eastAsia="標楷體" w:hAnsi="標楷體" w:hint="eastAsia"/>
          <w:sz w:val="28"/>
        </w:rPr>
        <w:t>8</w:t>
      </w:r>
      <w:r w:rsidR="00932388" w:rsidRPr="00E42C8D">
        <w:rPr>
          <w:rFonts w:ascii="標楷體" w:eastAsia="標楷體" w:hAnsi="標楷體" w:hint="eastAsia"/>
          <w:sz w:val="28"/>
        </w:rPr>
        <w:t>億</w:t>
      </w:r>
      <w:r w:rsidR="00505F85" w:rsidRPr="00E42C8D">
        <w:rPr>
          <w:rFonts w:ascii="標楷體" w:eastAsia="標楷體" w:hAnsi="標楷體" w:hint="eastAsia"/>
          <w:sz w:val="28"/>
        </w:rPr>
        <w:t>餘</w:t>
      </w:r>
      <w:r w:rsidR="00F5641F" w:rsidRPr="00E42C8D">
        <w:rPr>
          <w:rFonts w:ascii="標楷體" w:eastAsia="標楷體" w:hAnsi="標楷體" w:hint="eastAsia"/>
          <w:sz w:val="28"/>
        </w:rPr>
        <w:t>元之</w:t>
      </w:r>
      <w:r w:rsidR="00B83B17" w:rsidRPr="00E42C8D">
        <w:rPr>
          <w:rFonts w:ascii="標楷體" w:eastAsia="標楷體" w:hAnsi="標楷體" w:hint="eastAsia"/>
          <w:sz w:val="28"/>
        </w:rPr>
        <w:t>98.8</w:t>
      </w:r>
      <w:r w:rsidR="00F5641F" w:rsidRPr="00E42C8D">
        <w:rPr>
          <w:rFonts w:ascii="標楷體" w:eastAsia="標楷體" w:hAnsi="標楷體" w:hint="eastAsia"/>
          <w:sz w:val="28"/>
        </w:rPr>
        <w:t>％</w:t>
      </w:r>
      <w:r w:rsidR="00E6770C" w:rsidRPr="00E42C8D">
        <w:rPr>
          <w:rFonts w:ascii="標楷體" w:eastAsia="標楷體" w:hAnsi="標楷體" w:hint="eastAsia"/>
          <w:sz w:val="28"/>
        </w:rPr>
        <w:t>。</w:t>
      </w:r>
    </w:p>
    <w:p w:rsidR="00AE45C2" w:rsidRPr="00E42C8D" w:rsidRDefault="00AE45C2" w:rsidP="00E42C8D">
      <w:pPr>
        <w:pStyle w:val="7"/>
        <w:snapToGrid w:val="0"/>
        <w:spacing w:line="336" w:lineRule="auto"/>
        <w:ind w:left="567" w:hanging="567"/>
        <w:rPr>
          <w:rFonts w:ascii="標楷體" w:eastAsia="標楷體" w:hAnsi="標楷體"/>
          <w:sz w:val="28"/>
        </w:rPr>
      </w:pPr>
      <w:r w:rsidRPr="00E42C8D">
        <w:rPr>
          <w:rFonts w:ascii="標楷體" w:eastAsia="標楷體" w:hAnsi="標楷體" w:hint="eastAsia"/>
          <w:sz w:val="28"/>
        </w:rPr>
        <w:t>三、規費及罰款收入：預算數</w:t>
      </w:r>
      <w:r w:rsidR="00A8367A" w:rsidRPr="00E42C8D">
        <w:rPr>
          <w:rFonts w:ascii="標楷體" w:eastAsia="標楷體" w:hAnsi="標楷體" w:hint="eastAsia"/>
          <w:sz w:val="28"/>
        </w:rPr>
        <w:t>1,232</w:t>
      </w:r>
      <w:r w:rsidR="006719C6" w:rsidRPr="00E42C8D">
        <w:rPr>
          <w:rFonts w:ascii="標楷體" w:eastAsia="標楷體" w:hAnsi="標楷體" w:hint="eastAsia"/>
          <w:sz w:val="28"/>
        </w:rPr>
        <w:t>億</w:t>
      </w:r>
      <w:r w:rsidR="00505F85" w:rsidRPr="00E42C8D">
        <w:rPr>
          <w:rFonts w:ascii="標楷體" w:eastAsia="標楷體" w:hAnsi="標楷體" w:hint="eastAsia"/>
          <w:sz w:val="28"/>
        </w:rPr>
        <w:t>餘</w:t>
      </w:r>
      <w:r w:rsidR="000F2234" w:rsidRPr="00E42C8D">
        <w:rPr>
          <w:rFonts w:ascii="標楷體" w:eastAsia="標楷體" w:hAnsi="標楷體" w:hint="eastAsia"/>
          <w:sz w:val="28"/>
        </w:rPr>
        <w:t>元</w:t>
      </w:r>
      <w:r w:rsidRPr="00E42C8D">
        <w:rPr>
          <w:rFonts w:ascii="標楷體" w:eastAsia="標楷體" w:hAnsi="標楷體" w:hint="eastAsia"/>
          <w:sz w:val="28"/>
        </w:rPr>
        <w:t>，執行數</w:t>
      </w:r>
      <w:r w:rsidR="00B83B17" w:rsidRPr="00E42C8D">
        <w:rPr>
          <w:rFonts w:ascii="標楷體" w:eastAsia="標楷體" w:hAnsi="標楷體" w:hint="eastAsia"/>
          <w:sz w:val="28"/>
        </w:rPr>
        <w:t>1,67</w:t>
      </w:r>
      <w:r w:rsidR="004D6075" w:rsidRPr="00E42C8D">
        <w:rPr>
          <w:rFonts w:ascii="標楷體" w:eastAsia="標楷體" w:hAnsi="標楷體" w:hint="eastAsia"/>
          <w:sz w:val="28"/>
        </w:rPr>
        <w:t>8</w:t>
      </w:r>
      <w:r w:rsidR="000F2234" w:rsidRPr="00E42C8D">
        <w:rPr>
          <w:rFonts w:ascii="標楷體" w:eastAsia="標楷體" w:hAnsi="標楷體" w:hint="eastAsia"/>
          <w:sz w:val="28"/>
        </w:rPr>
        <w:t>億</w:t>
      </w:r>
      <w:r w:rsidR="00505F85" w:rsidRPr="00E42C8D">
        <w:rPr>
          <w:rFonts w:ascii="標楷體" w:eastAsia="標楷體" w:hAnsi="標楷體" w:hint="eastAsia"/>
          <w:sz w:val="28"/>
        </w:rPr>
        <w:t>餘</w:t>
      </w:r>
      <w:r w:rsidR="000F2234" w:rsidRPr="00E42C8D">
        <w:rPr>
          <w:rFonts w:ascii="標楷體" w:eastAsia="標楷體" w:hAnsi="標楷體" w:hint="eastAsia"/>
          <w:sz w:val="28"/>
        </w:rPr>
        <w:t>元</w:t>
      </w:r>
      <w:r w:rsidRPr="00E42C8D">
        <w:rPr>
          <w:rFonts w:ascii="標楷體" w:eastAsia="標楷體" w:hAnsi="標楷體" w:hint="eastAsia"/>
          <w:sz w:val="28"/>
        </w:rPr>
        <w:t>，占分配數</w:t>
      </w:r>
      <w:r w:rsidR="00B83B17" w:rsidRPr="00E42C8D">
        <w:rPr>
          <w:rFonts w:ascii="標楷體" w:eastAsia="標楷體" w:hAnsi="標楷體" w:hint="eastAsia"/>
          <w:sz w:val="28"/>
        </w:rPr>
        <w:t>716</w:t>
      </w:r>
      <w:r w:rsidRPr="00E42C8D">
        <w:rPr>
          <w:rFonts w:ascii="標楷體" w:eastAsia="標楷體" w:hAnsi="標楷體" w:hint="eastAsia"/>
          <w:sz w:val="28"/>
        </w:rPr>
        <w:t>億</w:t>
      </w:r>
      <w:r w:rsidR="00505F85" w:rsidRPr="00E42C8D">
        <w:rPr>
          <w:rFonts w:ascii="標楷體" w:eastAsia="標楷體" w:hAnsi="標楷體" w:hint="eastAsia"/>
          <w:sz w:val="28"/>
        </w:rPr>
        <w:t>餘</w:t>
      </w:r>
      <w:r w:rsidRPr="00E42C8D">
        <w:rPr>
          <w:rFonts w:ascii="標楷體" w:eastAsia="標楷體" w:hAnsi="標楷體" w:hint="eastAsia"/>
          <w:sz w:val="28"/>
        </w:rPr>
        <w:t>元之</w:t>
      </w:r>
      <w:r w:rsidR="00B83B17" w:rsidRPr="00E42C8D">
        <w:rPr>
          <w:rFonts w:ascii="標楷體" w:eastAsia="標楷體" w:hAnsi="標楷體" w:hint="eastAsia"/>
          <w:sz w:val="28"/>
        </w:rPr>
        <w:t>234.4</w:t>
      </w:r>
      <w:r w:rsidRPr="00E42C8D">
        <w:rPr>
          <w:rFonts w:ascii="標楷體" w:eastAsia="標楷體" w:hAnsi="標楷體" w:hint="eastAsia"/>
          <w:sz w:val="28"/>
        </w:rPr>
        <w:t>％</w:t>
      </w:r>
      <w:r w:rsidR="00164652" w:rsidRPr="00E42C8D">
        <w:rPr>
          <w:rFonts w:ascii="標楷體" w:eastAsia="標楷體" w:hAnsi="標楷體" w:hint="eastAsia"/>
          <w:sz w:val="28"/>
        </w:rPr>
        <w:t>，</w:t>
      </w:r>
      <w:r w:rsidR="00481D05" w:rsidRPr="00E42C8D">
        <w:rPr>
          <w:rFonts w:ascii="標楷體" w:eastAsia="標楷體" w:hAnsi="標楷體" w:hint="eastAsia"/>
          <w:sz w:val="28"/>
          <w:lang w:eastAsia="zh-HK"/>
        </w:rPr>
        <w:t>增加</w:t>
      </w:r>
      <w:r w:rsidR="00B83B17" w:rsidRPr="00E42C8D">
        <w:rPr>
          <w:rFonts w:ascii="標楷體" w:eastAsia="標楷體" w:hAnsi="標楷體" w:hint="eastAsia"/>
          <w:sz w:val="28"/>
        </w:rPr>
        <w:t>96</w:t>
      </w:r>
      <w:r w:rsidR="004D6075" w:rsidRPr="00E42C8D">
        <w:rPr>
          <w:rFonts w:ascii="標楷體" w:eastAsia="標楷體" w:hAnsi="標楷體" w:hint="eastAsia"/>
          <w:sz w:val="28"/>
        </w:rPr>
        <w:t>2</w:t>
      </w:r>
      <w:r w:rsidR="00164652" w:rsidRPr="00E42C8D">
        <w:rPr>
          <w:rFonts w:ascii="標楷體" w:eastAsia="標楷體" w:hAnsi="標楷體" w:hint="eastAsia"/>
          <w:sz w:val="28"/>
        </w:rPr>
        <w:t>億</w:t>
      </w:r>
      <w:r w:rsidR="00505F85" w:rsidRPr="00E42C8D">
        <w:rPr>
          <w:rFonts w:ascii="標楷體" w:eastAsia="標楷體" w:hAnsi="標楷體" w:hint="eastAsia"/>
          <w:sz w:val="28"/>
        </w:rPr>
        <w:t>餘</w:t>
      </w:r>
      <w:r w:rsidR="00164652" w:rsidRPr="00E42C8D">
        <w:rPr>
          <w:rFonts w:ascii="標楷體" w:eastAsia="標楷體" w:hAnsi="標楷體" w:hint="eastAsia"/>
          <w:sz w:val="28"/>
        </w:rPr>
        <w:t>元，主要係</w:t>
      </w:r>
      <w:r w:rsidR="00B069A2" w:rsidRPr="00E42C8D">
        <w:rPr>
          <w:rFonts w:ascii="標楷體" w:eastAsia="標楷體" w:hAnsi="標楷體" w:hint="eastAsia"/>
          <w:sz w:val="28"/>
        </w:rPr>
        <w:t>5G</w:t>
      </w:r>
      <w:r w:rsidR="007B47CC" w:rsidRPr="00E42C8D">
        <w:rPr>
          <w:rFonts w:ascii="標楷體" w:eastAsia="標楷體" w:hAnsi="標楷體" w:hint="eastAsia"/>
          <w:sz w:val="28"/>
        </w:rPr>
        <w:t>行動</w:t>
      </w:r>
      <w:r w:rsidR="00B069A2" w:rsidRPr="00E42C8D">
        <w:rPr>
          <w:rFonts w:ascii="標楷體" w:eastAsia="標楷體" w:hAnsi="標楷體" w:hint="eastAsia"/>
          <w:sz w:val="28"/>
          <w:lang w:eastAsia="zh-HK"/>
        </w:rPr>
        <w:t>寛頻業務得</w:t>
      </w:r>
      <w:r w:rsidR="007B47CC" w:rsidRPr="00E42C8D">
        <w:rPr>
          <w:rFonts w:ascii="標楷體" w:eastAsia="標楷體" w:hAnsi="標楷體" w:hint="eastAsia"/>
          <w:sz w:val="28"/>
        </w:rPr>
        <w:t>標金</w:t>
      </w:r>
      <w:r w:rsidR="00B069A2" w:rsidRPr="00E42C8D">
        <w:rPr>
          <w:rFonts w:ascii="標楷體" w:eastAsia="標楷體" w:hAnsi="標楷體" w:hint="eastAsia"/>
          <w:sz w:val="28"/>
          <w:lang w:eastAsia="zh-HK"/>
        </w:rPr>
        <w:t>收入</w:t>
      </w:r>
      <w:r w:rsidR="00EB4D24" w:rsidRPr="00E42C8D">
        <w:rPr>
          <w:rFonts w:ascii="標楷體" w:eastAsia="標楷體" w:hAnsi="標楷體" w:hint="eastAsia"/>
          <w:sz w:val="28"/>
        </w:rPr>
        <w:t>較預計增加</w:t>
      </w:r>
      <w:r w:rsidR="00164652" w:rsidRPr="00E42C8D">
        <w:rPr>
          <w:rFonts w:ascii="標楷體" w:eastAsia="標楷體" w:hAnsi="標楷體" w:hint="eastAsia"/>
          <w:sz w:val="28"/>
        </w:rPr>
        <w:t>所致。</w:t>
      </w:r>
    </w:p>
    <w:p w:rsidR="00AE45C2" w:rsidRPr="00E42C8D" w:rsidRDefault="00AE45C2" w:rsidP="00E42C8D">
      <w:pPr>
        <w:pStyle w:val="7"/>
        <w:snapToGrid w:val="0"/>
        <w:spacing w:line="336" w:lineRule="auto"/>
        <w:ind w:left="567" w:hanging="567"/>
        <w:rPr>
          <w:rFonts w:ascii="標楷體" w:eastAsia="標楷體" w:hAnsi="標楷體"/>
          <w:sz w:val="28"/>
        </w:rPr>
      </w:pPr>
      <w:r w:rsidRPr="00E42C8D">
        <w:rPr>
          <w:rFonts w:ascii="標楷體" w:eastAsia="標楷體" w:hAnsi="標楷體" w:hint="eastAsia"/>
          <w:sz w:val="28"/>
        </w:rPr>
        <w:t>四、財產收入：預算數</w:t>
      </w:r>
      <w:r w:rsidR="00A8367A" w:rsidRPr="00E42C8D">
        <w:rPr>
          <w:rFonts w:ascii="標楷體" w:eastAsia="標楷體" w:hAnsi="標楷體" w:hint="eastAsia"/>
          <w:sz w:val="28"/>
        </w:rPr>
        <w:t>480</w:t>
      </w:r>
      <w:r w:rsidR="000F2234" w:rsidRPr="00E42C8D">
        <w:rPr>
          <w:rFonts w:ascii="標楷體" w:eastAsia="標楷體" w:hAnsi="標楷體" w:hint="eastAsia"/>
          <w:sz w:val="28"/>
        </w:rPr>
        <w:t>億</w:t>
      </w:r>
      <w:r w:rsidR="00505F85" w:rsidRPr="00E42C8D">
        <w:rPr>
          <w:rFonts w:ascii="標楷體" w:eastAsia="標楷體" w:hAnsi="標楷體" w:hint="eastAsia"/>
          <w:sz w:val="28"/>
        </w:rPr>
        <w:t>餘</w:t>
      </w:r>
      <w:r w:rsidR="000F2234" w:rsidRPr="00E42C8D">
        <w:rPr>
          <w:rFonts w:ascii="標楷體" w:eastAsia="標楷體" w:hAnsi="標楷體" w:hint="eastAsia"/>
          <w:sz w:val="28"/>
        </w:rPr>
        <w:t>元</w:t>
      </w:r>
      <w:r w:rsidRPr="00E42C8D">
        <w:rPr>
          <w:rFonts w:ascii="標楷體" w:eastAsia="標楷體" w:hAnsi="標楷體" w:hint="eastAsia"/>
          <w:sz w:val="28"/>
        </w:rPr>
        <w:t>，執行數</w:t>
      </w:r>
      <w:r w:rsidR="00B83B17" w:rsidRPr="00E42C8D">
        <w:rPr>
          <w:rFonts w:ascii="標楷體" w:eastAsia="標楷體" w:hAnsi="標楷體" w:hint="eastAsia"/>
          <w:sz w:val="28"/>
        </w:rPr>
        <w:t>40</w:t>
      </w:r>
      <w:r w:rsidR="004D6075" w:rsidRPr="00E42C8D">
        <w:rPr>
          <w:rFonts w:ascii="標楷體" w:eastAsia="標楷體" w:hAnsi="標楷體" w:hint="eastAsia"/>
          <w:sz w:val="28"/>
        </w:rPr>
        <w:t>5</w:t>
      </w:r>
      <w:r w:rsidR="000F2234" w:rsidRPr="00E42C8D">
        <w:rPr>
          <w:rFonts w:ascii="標楷體" w:eastAsia="標楷體" w:hAnsi="標楷體" w:hint="eastAsia"/>
          <w:sz w:val="28"/>
        </w:rPr>
        <w:t>億</w:t>
      </w:r>
      <w:r w:rsidR="00505F85" w:rsidRPr="00E42C8D">
        <w:rPr>
          <w:rFonts w:ascii="標楷體" w:eastAsia="標楷體" w:hAnsi="標楷體" w:hint="eastAsia"/>
          <w:sz w:val="28"/>
        </w:rPr>
        <w:t>餘</w:t>
      </w:r>
      <w:r w:rsidR="000F2234" w:rsidRPr="00E42C8D">
        <w:rPr>
          <w:rFonts w:ascii="標楷體" w:eastAsia="標楷體" w:hAnsi="標楷體" w:hint="eastAsia"/>
          <w:sz w:val="28"/>
        </w:rPr>
        <w:t>元</w:t>
      </w:r>
      <w:r w:rsidRPr="00E42C8D">
        <w:rPr>
          <w:rFonts w:ascii="標楷體" w:eastAsia="標楷體" w:hAnsi="標楷體" w:hint="eastAsia"/>
          <w:sz w:val="28"/>
        </w:rPr>
        <w:t>，占分配數</w:t>
      </w:r>
      <w:r w:rsidR="00D00F53" w:rsidRPr="00E42C8D">
        <w:rPr>
          <w:rFonts w:ascii="標楷體" w:eastAsia="標楷體" w:hAnsi="標楷體" w:hint="eastAsia"/>
          <w:sz w:val="28"/>
        </w:rPr>
        <w:t>1</w:t>
      </w:r>
      <w:r w:rsidR="00B83B17" w:rsidRPr="00E42C8D">
        <w:rPr>
          <w:rFonts w:ascii="標楷體" w:eastAsia="標楷體" w:hAnsi="標楷體" w:hint="eastAsia"/>
          <w:sz w:val="28"/>
        </w:rPr>
        <w:t>3</w:t>
      </w:r>
      <w:r w:rsidR="004D6075" w:rsidRPr="00E42C8D">
        <w:rPr>
          <w:rFonts w:ascii="標楷體" w:eastAsia="標楷體" w:hAnsi="標楷體" w:hint="eastAsia"/>
          <w:sz w:val="28"/>
        </w:rPr>
        <w:t>4</w:t>
      </w:r>
      <w:r w:rsidR="000F2234" w:rsidRPr="00E42C8D">
        <w:rPr>
          <w:rFonts w:ascii="標楷體" w:eastAsia="標楷體" w:hAnsi="標楷體" w:hint="eastAsia"/>
          <w:sz w:val="28"/>
        </w:rPr>
        <w:t>億</w:t>
      </w:r>
      <w:r w:rsidR="00505F85" w:rsidRPr="00E42C8D">
        <w:rPr>
          <w:rFonts w:ascii="標楷體" w:eastAsia="標楷體" w:hAnsi="標楷體" w:hint="eastAsia"/>
          <w:sz w:val="28"/>
        </w:rPr>
        <w:t>餘</w:t>
      </w:r>
      <w:r w:rsidR="000F2234" w:rsidRPr="00E42C8D">
        <w:rPr>
          <w:rFonts w:ascii="標楷體" w:eastAsia="標楷體" w:hAnsi="標楷體" w:hint="eastAsia"/>
          <w:sz w:val="28"/>
        </w:rPr>
        <w:t>元</w:t>
      </w:r>
      <w:r w:rsidRPr="00E42C8D">
        <w:rPr>
          <w:rFonts w:ascii="標楷體" w:eastAsia="標楷體" w:hAnsi="標楷體" w:hint="eastAsia"/>
          <w:sz w:val="28"/>
        </w:rPr>
        <w:t>之</w:t>
      </w:r>
      <w:r w:rsidR="00B83B17" w:rsidRPr="00E42C8D">
        <w:rPr>
          <w:rFonts w:ascii="標楷體" w:eastAsia="標楷體" w:hAnsi="標楷體" w:hint="eastAsia"/>
          <w:sz w:val="28"/>
        </w:rPr>
        <w:t>301.3</w:t>
      </w:r>
      <w:r w:rsidRPr="00E42C8D">
        <w:rPr>
          <w:rFonts w:ascii="標楷體" w:eastAsia="標楷體" w:hAnsi="標楷體" w:hint="eastAsia"/>
          <w:sz w:val="28"/>
        </w:rPr>
        <w:t>％</w:t>
      </w:r>
      <w:r w:rsidR="00164652" w:rsidRPr="00E42C8D">
        <w:rPr>
          <w:rFonts w:ascii="標楷體" w:eastAsia="標楷體" w:hAnsi="標楷體" w:hint="eastAsia"/>
          <w:sz w:val="28"/>
        </w:rPr>
        <w:t>，</w:t>
      </w:r>
      <w:r w:rsidR="00EB4D24" w:rsidRPr="00E42C8D">
        <w:rPr>
          <w:rFonts w:ascii="標楷體" w:eastAsia="標楷體" w:hAnsi="標楷體" w:hint="eastAsia"/>
          <w:sz w:val="28"/>
        </w:rPr>
        <w:t>增加</w:t>
      </w:r>
      <w:r w:rsidR="00B83B17" w:rsidRPr="00E42C8D">
        <w:rPr>
          <w:rFonts w:ascii="標楷體" w:eastAsia="標楷體" w:hAnsi="標楷體" w:hint="eastAsia"/>
          <w:sz w:val="28"/>
        </w:rPr>
        <w:t>271</w:t>
      </w:r>
      <w:r w:rsidR="000F2234" w:rsidRPr="00E42C8D">
        <w:rPr>
          <w:rFonts w:ascii="標楷體" w:eastAsia="標楷體" w:hAnsi="標楷體" w:hint="eastAsia"/>
          <w:sz w:val="28"/>
        </w:rPr>
        <w:t>億</w:t>
      </w:r>
      <w:r w:rsidR="00505F85" w:rsidRPr="00E42C8D">
        <w:rPr>
          <w:rFonts w:ascii="標楷體" w:eastAsia="標楷體" w:hAnsi="標楷體" w:hint="eastAsia"/>
          <w:sz w:val="28"/>
        </w:rPr>
        <w:t>餘</w:t>
      </w:r>
      <w:r w:rsidR="000F2234" w:rsidRPr="00E42C8D">
        <w:rPr>
          <w:rFonts w:ascii="標楷體" w:eastAsia="標楷體" w:hAnsi="標楷體" w:hint="eastAsia"/>
          <w:sz w:val="28"/>
        </w:rPr>
        <w:t>元</w:t>
      </w:r>
      <w:r w:rsidR="00164652" w:rsidRPr="00E42C8D">
        <w:rPr>
          <w:rFonts w:ascii="標楷體" w:eastAsia="標楷體" w:hAnsi="標楷體" w:hint="eastAsia"/>
          <w:sz w:val="28"/>
        </w:rPr>
        <w:t>，主要</w:t>
      </w:r>
      <w:r w:rsidR="00071DD3" w:rsidRPr="00E42C8D">
        <w:rPr>
          <w:rFonts w:ascii="標楷體" w:eastAsia="標楷體" w:hAnsi="標楷體" w:hint="eastAsia"/>
          <w:sz w:val="28"/>
        </w:rPr>
        <w:t>係</w:t>
      </w:r>
      <w:r w:rsidR="008044CD" w:rsidRPr="00E42C8D">
        <w:rPr>
          <w:rFonts w:ascii="標楷體" w:eastAsia="標楷體" w:hAnsi="標楷體" w:hint="eastAsia"/>
          <w:sz w:val="28"/>
          <w:lang w:eastAsia="zh-HK"/>
        </w:rPr>
        <w:t>設定</w:t>
      </w:r>
      <w:r w:rsidR="005F7C4D" w:rsidRPr="00E42C8D">
        <w:rPr>
          <w:rFonts w:ascii="標楷體" w:eastAsia="標楷體" w:hAnsi="標楷體" w:hint="eastAsia"/>
          <w:sz w:val="28"/>
          <w:lang w:eastAsia="zh-HK"/>
        </w:rPr>
        <w:t>地上權案權利金</w:t>
      </w:r>
      <w:r w:rsidR="00A45F95" w:rsidRPr="00E42C8D">
        <w:rPr>
          <w:rFonts w:ascii="標楷體" w:eastAsia="標楷體" w:hAnsi="標楷體" w:hint="eastAsia"/>
          <w:sz w:val="28"/>
        </w:rPr>
        <w:t>較預計增加</w:t>
      </w:r>
      <w:r w:rsidR="005C33E9" w:rsidRPr="00E42C8D">
        <w:rPr>
          <w:rFonts w:ascii="標楷體" w:eastAsia="標楷體" w:hAnsi="標楷體" w:hint="eastAsia"/>
          <w:sz w:val="28"/>
        </w:rPr>
        <w:t>所致</w:t>
      </w:r>
      <w:r w:rsidR="00071DD3" w:rsidRPr="00E42C8D">
        <w:rPr>
          <w:rFonts w:ascii="標楷體" w:eastAsia="標楷體" w:hAnsi="標楷體" w:hint="eastAsia"/>
          <w:sz w:val="28"/>
        </w:rPr>
        <w:t>。</w:t>
      </w:r>
    </w:p>
    <w:p w:rsidR="004D3A23" w:rsidRDefault="00AE45C2" w:rsidP="00E42C8D">
      <w:pPr>
        <w:pStyle w:val="7"/>
        <w:snapToGrid w:val="0"/>
        <w:spacing w:line="336" w:lineRule="auto"/>
        <w:ind w:left="567" w:hanging="567"/>
        <w:rPr>
          <w:rFonts w:ascii="標楷體" w:eastAsia="標楷體" w:hAnsi="標楷體"/>
          <w:sz w:val="28"/>
        </w:rPr>
      </w:pPr>
      <w:r w:rsidRPr="00E42C8D">
        <w:rPr>
          <w:rFonts w:ascii="標楷體" w:eastAsia="標楷體" w:hAnsi="標楷體" w:hint="eastAsia"/>
          <w:sz w:val="28"/>
        </w:rPr>
        <w:t>五、其他收入：預算數</w:t>
      </w:r>
      <w:r w:rsidR="00B83B17" w:rsidRPr="00E42C8D">
        <w:rPr>
          <w:rFonts w:ascii="標楷體" w:eastAsia="標楷體" w:hAnsi="標楷體" w:hint="eastAsia"/>
          <w:sz w:val="28"/>
        </w:rPr>
        <w:t>119</w:t>
      </w:r>
      <w:r w:rsidR="000F2234" w:rsidRPr="00E42C8D">
        <w:rPr>
          <w:rFonts w:ascii="標楷體" w:eastAsia="標楷體" w:hAnsi="標楷體" w:hint="eastAsia"/>
          <w:sz w:val="28"/>
        </w:rPr>
        <w:t>億</w:t>
      </w:r>
      <w:r w:rsidR="00505F85" w:rsidRPr="00E42C8D">
        <w:rPr>
          <w:rFonts w:ascii="標楷體" w:eastAsia="標楷體" w:hAnsi="標楷體" w:hint="eastAsia"/>
          <w:sz w:val="28"/>
        </w:rPr>
        <w:t>餘</w:t>
      </w:r>
      <w:r w:rsidR="000F2234" w:rsidRPr="00E42C8D">
        <w:rPr>
          <w:rFonts w:ascii="標楷體" w:eastAsia="標楷體" w:hAnsi="標楷體" w:hint="eastAsia"/>
          <w:sz w:val="28"/>
        </w:rPr>
        <w:t>元</w:t>
      </w:r>
      <w:r w:rsidRPr="00E42C8D">
        <w:rPr>
          <w:rFonts w:ascii="標楷體" w:eastAsia="標楷體" w:hAnsi="標楷體" w:hint="eastAsia"/>
          <w:sz w:val="28"/>
        </w:rPr>
        <w:t>，執行數</w:t>
      </w:r>
      <w:r w:rsidR="00B83B17" w:rsidRPr="00E42C8D">
        <w:rPr>
          <w:rFonts w:ascii="標楷體" w:eastAsia="標楷體" w:hAnsi="標楷體" w:hint="eastAsia"/>
          <w:sz w:val="28"/>
        </w:rPr>
        <w:t>71</w:t>
      </w:r>
      <w:r w:rsidR="000F2234" w:rsidRPr="00E42C8D">
        <w:rPr>
          <w:rFonts w:ascii="標楷體" w:eastAsia="標楷體" w:hAnsi="標楷體" w:hint="eastAsia"/>
          <w:sz w:val="28"/>
        </w:rPr>
        <w:t>億</w:t>
      </w:r>
      <w:r w:rsidR="00505F85" w:rsidRPr="00E42C8D">
        <w:rPr>
          <w:rFonts w:ascii="標楷體" w:eastAsia="標楷體" w:hAnsi="標楷體" w:hint="eastAsia"/>
          <w:sz w:val="28"/>
        </w:rPr>
        <w:t>餘</w:t>
      </w:r>
      <w:r w:rsidR="000F2234" w:rsidRPr="00E42C8D">
        <w:rPr>
          <w:rFonts w:ascii="標楷體" w:eastAsia="標楷體" w:hAnsi="標楷體" w:hint="eastAsia"/>
          <w:sz w:val="28"/>
        </w:rPr>
        <w:t>元</w:t>
      </w:r>
      <w:r w:rsidRPr="00E42C8D">
        <w:rPr>
          <w:rFonts w:ascii="標楷體" w:eastAsia="標楷體" w:hAnsi="標楷體" w:hint="eastAsia"/>
          <w:sz w:val="28"/>
        </w:rPr>
        <w:t>，占分配數</w:t>
      </w:r>
      <w:r w:rsidR="00B83B17" w:rsidRPr="00E42C8D">
        <w:rPr>
          <w:rFonts w:ascii="標楷體" w:eastAsia="標楷體" w:hAnsi="標楷體" w:hint="eastAsia"/>
          <w:sz w:val="28"/>
        </w:rPr>
        <w:t>5</w:t>
      </w:r>
      <w:r w:rsidR="004D6075" w:rsidRPr="00E42C8D">
        <w:rPr>
          <w:rFonts w:ascii="標楷體" w:eastAsia="標楷體" w:hAnsi="標楷體" w:hint="eastAsia"/>
          <w:sz w:val="28"/>
        </w:rPr>
        <w:t>4</w:t>
      </w:r>
      <w:r w:rsidR="000F2234" w:rsidRPr="00E42C8D">
        <w:rPr>
          <w:rFonts w:ascii="標楷體" w:eastAsia="標楷體" w:hAnsi="標楷體" w:hint="eastAsia"/>
          <w:sz w:val="28"/>
        </w:rPr>
        <w:t>億</w:t>
      </w:r>
      <w:r w:rsidR="00505F85" w:rsidRPr="00E42C8D">
        <w:rPr>
          <w:rFonts w:ascii="標楷體" w:eastAsia="標楷體" w:hAnsi="標楷體" w:hint="eastAsia"/>
          <w:sz w:val="28"/>
        </w:rPr>
        <w:t>餘</w:t>
      </w:r>
      <w:r w:rsidR="000F2234" w:rsidRPr="00E42C8D">
        <w:rPr>
          <w:rFonts w:ascii="標楷體" w:eastAsia="標楷體" w:hAnsi="標楷體" w:hint="eastAsia"/>
          <w:sz w:val="28"/>
        </w:rPr>
        <w:t>元</w:t>
      </w:r>
      <w:r w:rsidRPr="00E42C8D">
        <w:rPr>
          <w:rFonts w:ascii="標楷體" w:eastAsia="標楷體" w:hAnsi="標楷體" w:hint="eastAsia"/>
          <w:sz w:val="28"/>
        </w:rPr>
        <w:t>之</w:t>
      </w:r>
      <w:r w:rsidR="00962447" w:rsidRPr="00E42C8D">
        <w:rPr>
          <w:rFonts w:ascii="標楷體" w:eastAsia="標楷體" w:hAnsi="標楷體" w:hint="eastAsia"/>
          <w:sz w:val="28"/>
        </w:rPr>
        <w:t>13</w:t>
      </w:r>
      <w:r w:rsidR="00B83B17" w:rsidRPr="00E42C8D">
        <w:rPr>
          <w:rFonts w:ascii="標楷體" w:eastAsia="標楷體" w:hAnsi="標楷體" w:hint="eastAsia"/>
          <w:sz w:val="28"/>
        </w:rPr>
        <w:t>0.7</w:t>
      </w:r>
      <w:r w:rsidRPr="00E42C8D">
        <w:rPr>
          <w:rFonts w:ascii="標楷體" w:eastAsia="標楷體" w:hAnsi="標楷體" w:hint="eastAsia"/>
          <w:sz w:val="28"/>
        </w:rPr>
        <w:t>％，</w:t>
      </w:r>
      <w:r w:rsidR="00EB4D24" w:rsidRPr="00E42C8D">
        <w:rPr>
          <w:rFonts w:ascii="標楷體" w:eastAsia="標楷體" w:hAnsi="標楷體" w:hint="eastAsia"/>
          <w:sz w:val="28"/>
        </w:rPr>
        <w:t>增加</w:t>
      </w:r>
      <w:r w:rsidR="00B83B17" w:rsidRPr="00E42C8D">
        <w:rPr>
          <w:rFonts w:ascii="標楷體" w:eastAsia="標楷體" w:hAnsi="標楷體" w:hint="eastAsia"/>
          <w:sz w:val="28"/>
        </w:rPr>
        <w:t>16</w:t>
      </w:r>
      <w:r w:rsidR="000F2234" w:rsidRPr="00E42C8D">
        <w:rPr>
          <w:rFonts w:ascii="標楷體" w:eastAsia="標楷體" w:hAnsi="標楷體" w:hint="eastAsia"/>
          <w:sz w:val="28"/>
        </w:rPr>
        <w:t>億</w:t>
      </w:r>
      <w:r w:rsidR="00505F85" w:rsidRPr="00E42C8D">
        <w:rPr>
          <w:rFonts w:ascii="標楷體" w:eastAsia="標楷體" w:hAnsi="標楷體" w:hint="eastAsia"/>
          <w:sz w:val="28"/>
        </w:rPr>
        <w:t>餘</w:t>
      </w:r>
      <w:r w:rsidR="000F2234" w:rsidRPr="00E42C8D">
        <w:rPr>
          <w:rFonts w:ascii="標楷體" w:eastAsia="標楷體" w:hAnsi="標楷體" w:hint="eastAsia"/>
          <w:sz w:val="28"/>
        </w:rPr>
        <w:t>元</w:t>
      </w:r>
      <w:r w:rsidRPr="00E42C8D">
        <w:rPr>
          <w:rFonts w:ascii="標楷體" w:eastAsia="標楷體" w:hAnsi="標楷體" w:hint="eastAsia"/>
          <w:sz w:val="28"/>
        </w:rPr>
        <w:t>，主要係</w:t>
      </w:r>
      <w:r w:rsidR="00BF7EC6" w:rsidRPr="00E42C8D">
        <w:rPr>
          <w:rFonts w:ascii="標楷體" w:eastAsia="標楷體" w:hAnsi="標楷體" w:hint="eastAsia"/>
          <w:sz w:val="28"/>
        </w:rPr>
        <w:t>雜項收入較預計增加</w:t>
      </w:r>
      <w:r w:rsidRPr="00E42C8D">
        <w:rPr>
          <w:rFonts w:ascii="標楷體" w:eastAsia="標楷體" w:hAnsi="標楷體" w:hint="eastAsia"/>
          <w:sz w:val="28"/>
        </w:rPr>
        <w:t>所致。</w:t>
      </w:r>
    </w:p>
    <w:p w:rsidR="00E42C8D" w:rsidRDefault="00C11E1C" w:rsidP="00E42C8D">
      <w:pPr>
        <w:pStyle w:val="7"/>
        <w:snapToGrid w:val="0"/>
        <w:spacing w:line="336" w:lineRule="auto"/>
        <w:ind w:left="567" w:hanging="567"/>
        <w:rPr>
          <w:rFonts w:ascii="標楷體" w:eastAsia="標楷體" w:hAnsi="標楷體"/>
          <w:sz w:val="28"/>
        </w:rPr>
      </w:pPr>
      <w:r>
        <w:rPr>
          <w:noProof/>
        </w:rPr>
        <w:drawing>
          <wp:inline distT="0" distB="0" distL="0" distR="0" wp14:anchorId="221B961D" wp14:editId="7B646558">
            <wp:extent cx="6120765" cy="2171700"/>
            <wp:effectExtent l="0" t="0" r="13335" b="0"/>
            <wp:docPr id="1" name="圖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E1DAB" w:rsidRPr="00F05BBB" w:rsidRDefault="00EC0098" w:rsidP="00801857">
      <w:pPr>
        <w:pStyle w:val="1"/>
        <w:tabs>
          <w:tab w:val="left" w:pos="30"/>
          <w:tab w:val="left" w:pos="7680"/>
        </w:tabs>
        <w:jc w:val="left"/>
        <w:rPr>
          <w:rFonts w:ascii="標楷體" w:eastAsia="標楷體" w:hAnsi="標楷體"/>
          <w:b/>
          <w:szCs w:val="36"/>
        </w:rPr>
      </w:pPr>
      <w:r>
        <w:rPr>
          <w:rFonts w:ascii="標楷體" w:eastAsia="標楷體" w:hAnsi="標楷體" w:hint="eastAsia"/>
          <w:b/>
          <w:szCs w:val="36"/>
        </w:rPr>
        <w:lastRenderedPageBreak/>
        <w:t>貳、歲出預算執行</w:t>
      </w:r>
      <w:r w:rsidR="008044CD">
        <w:rPr>
          <w:rFonts w:ascii="標楷體" w:eastAsia="標楷體" w:hAnsi="標楷體" w:hint="eastAsia"/>
          <w:b/>
          <w:szCs w:val="36"/>
          <w:lang w:eastAsia="zh-HK"/>
        </w:rPr>
        <w:t>情</w:t>
      </w:r>
      <w:r w:rsidR="00FE1DAB" w:rsidRPr="00F05BBB">
        <w:rPr>
          <w:rFonts w:ascii="標楷體" w:eastAsia="標楷體" w:hAnsi="標楷體" w:hint="eastAsia"/>
          <w:b/>
          <w:szCs w:val="36"/>
        </w:rPr>
        <w:t>形</w:t>
      </w:r>
    </w:p>
    <w:p w:rsidR="00AE45C2" w:rsidRPr="001D3358" w:rsidRDefault="00AE45C2" w:rsidP="00801857">
      <w:pPr>
        <w:pStyle w:val="5"/>
        <w:ind w:left="0" w:firstLine="567"/>
        <w:rPr>
          <w:rFonts w:ascii="標楷體" w:eastAsia="標楷體" w:hAnsi="標楷體"/>
          <w:sz w:val="28"/>
        </w:rPr>
      </w:pPr>
      <w:r w:rsidRPr="0085102E">
        <w:rPr>
          <w:rFonts w:ascii="標楷體" w:eastAsia="標楷體" w:hAnsi="標楷體" w:hint="eastAsia"/>
          <w:sz w:val="28"/>
        </w:rPr>
        <w:t>本年度中央政府總預算歲出</w:t>
      </w:r>
      <w:r w:rsidR="00A8367A">
        <w:rPr>
          <w:rFonts w:ascii="標楷體" w:eastAsia="標楷體" w:hAnsi="標楷體" w:hint="eastAsia"/>
          <w:sz w:val="28"/>
        </w:rPr>
        <w:t>2</w:t>
      </w:r>
      <w:r w:rsidR="00C136AA" w:rsidRPr="0085102E">
        <w:rPr>
          <w:rFonts w:ascii="標楷體" w:eastAsia="標楷體" w:hAnsi="標楷體" w:hint="eastAsia"/>
          <w:sz w:val="28"/>
        </w:rPr>
        <w:t>兆</w:t>
      </w:r>
      <w:r w:rsidR="00A8367A">
        <w:rPr>
          <w:rFonts w:ascii="標楷體" w:eastAsia="標楷體" w:hAnsi="標楷體" w:hint="eastAsia"/>
          <w:sz w:val="28"/>
        </w:rPr>
        <w:t>775</w:t>
      </w:r>
      <w:r w:rsidR="0077722E" w:rsidRPr="0085102E">
        <w:rPr>
          <w:rFonts w:ascii="標楷體" w:eastAsia="標楷體" w:hAnsi="標楷體" w:hint="eastAsia"/>
          <w:sz w:val="28"/>
        </w:rPr>
        <w:t>億</w:t>
      </w:r>
      <w:r w:rsidR="00505F85" w:rsidRPr="0085102E">
        <w:rPr>
          <w:rFonts w:ascii="標楷體" w:eastAsia="標楷體" w:hAnsi="標楷體" w:hint="eastAsia"/>
          <w:sz w:val="28"/>
        </w:rPr>
        <w:t>餘</w:t>
      </w:r>
      <w:r w:rsidR="00C136AA" w:rsidRPr="0085102E">
        <w:rPr>
          <w:rFonts w:ascii="標楷體" w:eastAsia="標楷體" w:hAnsi="標楷體" w:hint="eastAsia"/>
          <w:sz w:val="28"/>
        </w:rPr>
        <w:t>元，</w:t>
      </w:r>
      <w:r w:rsidRPr="0085102E">
        <w:rPr>
          <w:rFonts w:ascii="標楷體" w:eastAsia="標楷體" w:hAnsi="標楷體" w:hint="eastAsia"/>
          <w:sz w:val="28"/>
        </w:rPr>
        <w:t>截至6月底</w:t>
      </w:r>
      <w:proofErr w:type="gramStart"/>
      <w:r w:rsidRPr="0085102E">
        <w:rPr>
          <w:rFonts w:ascii="標楷體" w:eastAsia="標楷體" w:hAnsi="標楷體" w:hint="eastAsia"/>
          <w:sz w:val="28"/>
        </w:rPr>
        <w:t>止</w:t>
      </w:r>
      <w:proofErr w:type="gramEnd"/>
      <w:r w:rsidRPr="0085102E">
        <w:rPr>
          <w:rFonts w:ascii="標楷體" w:eastAsia="標楷體" w:hAnsi="標楷體" w:hint="eastAsia"/>
          <w:sz w:val="28"/>
        </w:rPr>
        <w:t>執行數</w:t>
      </w:r>
      <w:r w:rsidR="002E0139">
        <w:rPr>
          <w:rFonts w:ascii="標楷體" w:eastAsia="標楷體" w:hAnsi="標楷體" w:hint="eastAsia"/>
          <w:sz w:val="28"/>
        </w:rPr>
        <w:t>（</w:t>
      </w:r>
      <w:r w:rsidR="0096052C" w:rsidRPr="0085102E">
        <w:rPr>
          <w:rFonts w:ascii="標楷體" w:eastAsia="標楷體" w:hAnsi="標楷體" w:hint="eastAsia"/>
          <w:sz w:val="28"/>
        </w:rPr>
        <w:t>含實現數及</w:t>
      </w:r>
      <w:r w:rsidR="00BF7EC6" w:rsidRPr="0085102E">
        <w:rPr>
          <w:rFonts w:ascii="標楷體" w:eastAsia="標楷體" w:hAnsi="標楷體" w:hint="eastAsia"/>
          <w:sz w:val="28"/>
        </w:rPr>
        <w:t>預</w:t>
      </w:r>
      <w:r w:rsidR="0096052C" w:rsidRPr="0085102E">
        <w:rPr>
          <w:rFonts w:ascii="標楷體" w:eastAsia="標楷體" w:hAnsi="標楷體" w:hint="eastAsia"/>
          <w:sz w:val="28"/>
        </w:rPr>
        <w:t>付數，以下同</w:t>
      </w:r>
      <w:r w:rsidR="002E0139">
        <w:rPr>
          <w:rFonts w:ascii="標楷體" w:eastAsia="標楷體" w:hAnsi="標楷體" w:hint="eastAsia"/>
          <w:sz w:val="28"/>
        </w:rPr>
        <w:t>）</w:t>
      </w:r>
      <w:r w:rsidR="007805DF">
        <w:rPr>
          <w:rFonts w:ascii="標楷體" w:eastAsia="標楷體" w:hAnsi="標楷體"/>
          <w:sz w:val="28"/>
        </w:rPr>
        <w:t>1</w:t>
      </w:r>
      <w:r w:rsidR="00595936" w:rsidRPr="0085102E">
        <w:rPr>
          <w:rFonts w:ascii="標楷體" w:eastAsia="標楷體" w:hAnsi="標楷體" w:hint="eastAsia"/>
          <w:sz w:val="28"/>
        </w:rPr>
        <w:t>兆</w:t>
      </w:r>
      <w:r w:rsidR="005403D6">
        <w:rPr>
          <w:rFonts w:ascii="標楷體" w:eastAsia="標楷體" w:hAnsi="標楷體" w:hint="eastAsia"/>
          <w:sz w:val="28"/>
        </w:rPr>
        <w:t>6</w:t>
      </w:r>
      <w:r w:rsidR="00595936">
        <w:rPr>
          <w:rFonts w:ascii="標楷體" w:eastAsia="標楷體" w:hAnsi="標楷體" w:hint="eastAsia"/>
          <w:sz w:val="28"/>
        </w:rPr>
        <w:t>0</w:t>
      </w:r>
      <w:r w:rsidR="005403D6">
        <w:rPr>
          <w:rFonts w:ascii="標楷體" w:eastAsia="標楷體" w:hAnsi="標楷體" w:hint="eastAsia"/>
          <w:sz w:val="28"/>
        </w:rPr>
        <w:t>0</w:t>
      </w:r>
      <w:r w:rsidR="000F2234" w:rsidRPr="0085102E">
        <w:rPr>
          <w:rFonts w:ascii="標楷體" w:eastAsia="標楷體" w:hAnsi="標楷體" w:hint="eastAsia"/>
          <w:sz w:val="28"/>
        </w:rPr>
        <w:t>億</w:t>
      </w:r>
      <w:r w:rsidR="00505F85" w:rsidRPr="0085102E">
        <w:rPr>
          <w:rFonts w:ascii="標楷體" w:eastAsia="標楷體" w:hAnsi="標楷體" w:hint="eastAsia"/>
          <w:sz w:val="28"/>
        </w:rPr>
        <w:t>餘</w:t>
      </w:r>
      <w:r w:rsidR="000F2234" w:rsidRPr="0085102E">
        <w:rPr>
          <w:rFonts w:ascii="標楷體" w:eastAsia="標楷體" w:hAnsi="標楷體" w:hint="eastAsia"/>
          <w:sz w:val="28"/>
        </w:rPr>
        <w:t>元</w:t>
      </w:r>
      <w:r w:rsidRPr="0085102E">
        <w:rPr>
          <w:rFonts w:ascii="標楷體" w:eastAsia="標楷體" w:hAnsi="標楷體" w:hint="eastAsia"/>
          <w:sz w:val="28"/>
        </w:rPr>
        <w:t>，占分配數</w:t>
      </w:r>
      <w:r w:rsidR="009E4822" w:rsidRPr="0085102E">
        <w:rPr>
          <w:rFonts w:ascii="標楷體" w:eastAsia="標楷體" w:hAnsi="標楷體" w:hint="eastAsia"/>
          <w:sz w:val="28"/>
        </w:rPr>
        <w:t>1兆</w:t>
      </w:r>
      <w:r w:rsidR="007805DF">
        <w:rPr>
          <w:rFonts w:ascii="標楷體" w:eastAsia="標楷體" w:hAnsi="標楷體"/>
          <w:sz w:val="28"/>
        </w:rPr>
        <w:t>1,4</w:t>
      </w:r>
      <w:r w:rsidR="005403D6">
        <w:rPr>
          <w:rFonts w:ascii="標楷體" w:eastAsia="標楷體" w:hAnsi="標楷體" w:hint="eastAsia"/>
          <w:sz w:val="28"/>
        </w:rPr>
        <w:t>14</w:t>
      </w:r>
      <w:r w:rsidR="0077722E" w:rsidRPr="0085102E">
        <w:rPr>
          <w:rFonts w:ascii="標楷體" w:eastAsia="標楷體" w:hAnsi="標楷體" w:hint="eastAsia"/>
          <w:sz w:val="28"/>
        </w:rPr>
        <w:t>億</w:t>
      </w:r>
      <w:r w:rsidR="00505F85" w:rsidRPr="0085102E">
        <w:rPr>
          <w:rFonts w:ascii="標楷體" w:eastAsia="標楷體" w:hAnsi="標楷體" w:hint="eastAsia"/>
          <w:sz w:val="28"/>
        </w:rPr>
        <w:t>餘</w:t>
      </w:r>
      <w:r w:rsidR="000F2234" w:rsidRPr="0085102E">
        <w:rPr>
          <w:rFonts w:ascii="標楷體" w:eastAsia="標楷體" w:hAnsi="標楷體" w:hint="eastAsia"/>
          <w:sz w:val="28"/>
        </w:rPr>
        <w:t>元</w:t>
      </w:r>
      <w:r w:rsidRPr="0085102E">
        <w:rPr>
          <w:rFonts w:ascii="標楷體" w:eastAsia="標楷體" w:hAnsi="標楷體" w:hint="eastAsia"/>
          <w:sz w:val="28"/>
        </w:rPr>
        <w:t>之</w:t>
      </w:r>
      <w:r w:rsidR="007805DF">
        <w:rPr>
          <w:rFonts w:ascii="標楷體" w:eastAsia="標楷體" w:hAnsi="標楷體"/>
          <w:sz w:val="28"/>
        </w:rPr>
        <w:t>92.9</w:t>
      </w:r>
      <w:r w:rsidRPr="0085102E">
        <w:rPr>
          <w:rFonts w:ascii="標楷體" w:eastAsia="標楷體" w:hAnsi="標楷體" w:hint="eastAsia"/>
          <w:sz w:val="28"/>
        </w:rPr>
        <w:t>％。</w:t>
      </w:r>
      <w:proofErr w:type="gramStart"/>
      <w:r w:rsidR="0096052C" w:rsidRPr="0085102E">
        <w:rPr>
          <w:rFonts w:ascii="標楷體" w:eastAsia="標楷體" w:hAnsi="標楷體" w:hint="eastAsia"/>
          <w:sz w:val="28"/>
        </w:rPr>
        <w:t>茲依歲出</w:t>
      </w:r>
      <w:proofErr w:type="gramEnd"/>
      <w:r w:rsidR="0096052C" w:rsidRPr="0085102E">
        <w:rPr>
          <w:rFonts w:ascii="標楷體" w:eastAsia="標楷體" w:hAnsi="標楷體" w:hint="eastAsia"/>
          <w:sz w:val="28"/>
        </w:rPr>
        <w:t>主管機關別執行情形</w:t>
      </w:r>
      <w:r w:rsidR="00A87BC5" w:rsidRPr="0085102E">
        <w:rPr>
          <w:rFonts w:ascii="標楷體" w:eastAsia="標楷體" w:hAnsi="標楷體" w:hint="eastAsia"/>
          <w:sz w:val="28"/>
        </w:rPr>
        <w:t>（圖2）</w:t>
      </w:r>
      <w:r w:rsidRPr="0085102E">
        <w:rPr>
          <w:rFonts w:ascii="標楷體" w:eastAsia="標楷體" w:hAnsi="標楷體" w:hint="eastAsia"/>
          <w:sz w:val="28"/>
        </w:rPr>
        <w:t>分述如下：</w:t>
      </w:r>
    </w:p>
    <w:p w:rsidR="00FE1DAB" w:rsidRPr="00F05BBB" w:rsidRDefault="00FE1DAB" w:rsidP="00801857">
      <w:pPr>
        <w:pStyle w:val="7"/>
        <w:numPr>
          <w:ilvl w:val="0"/>
          <w:numId w:val="14"/>
        </w:numPr>
        <w:ind w:left="616" w:hanging="616"/>
        <w:rPr>
          <w:rFonts w:ascii="標楷體" w:eastAsia="標楷體" w:hAnsi="標楷體"/>
          <w:sz w:val="28"/>
        </w:rPr>
      </w:pPr>
      <w:r w:rsidRPr="00F05BBB">
        <w:rPr>
          <w:rFonts w:ascii="標楷體" w:eastAsia="標楷體" w:hAnsi="標楷體" w:hint="eastAsia"/>
          <w:sz w:val="28"/>
        </w:rPr>
        <w:t>總統府主管：</w:t>
      </w:r>
      <w:r w:rsidR="00B0788A" w:rsidRPr="00F05BBB">
        <w:rPr>
          <w:rFonts w:ascii="標楷體" w:eastAsia="標楷體" w:hAnsi="標楷體" w:hint="eastAsia"/>
          <w:sz w:val="28"/>
        </w:rPr>
        <w:t>預算數</w:t>
      </w:r>
      <w:r w:rsidR="00A36982">
        <w:rPr>
          <w:rFonts w:ascii="標楷體" w:eastAsia="標楷體" w:hAnsi="標楷體" w:hint="eastAsia"/>
          <w:sz w:val="28"/>
        </w:rPr>
        <w:t>140</w:t>
      </w:r>
      <w:r w:rsidR="000F2234" w:rsidRPr="00F05BBB">
        <w:rPr>
          <w:rFonts w:ascii="標楷體" w:eastAsia="標楷體" w:hAnsi="標楷體" w:hint="eastAsia"/>
          <w:sz w:val="28"/>
        </w:rPr>
        <w:t>億</w:t>
      </w:r>
      <w:r w:rsidR="00A006C5">
        <w:rPr>
          <w:rFonts w:ascii="標楷體" w:eastAsia="標楷體" w:hAnsi="標楷體" w:hint="eastAsia"/>
          <w:sz w:val="28"/>
        </w:rPr>
        <w:t>餘</w:t>
      </w:r>
      <w:r w:rsidR="000F2234" w:rsidRPr="00F05BBB">
        <w:rPr>
          <w:rFonts w:ascii="標楷體" w:eastAsia="標楷體" w:hAnsi="標楷體" w:hint="eastAsia"/>
          <w:sz w:val="28"/>
        </w:rPr>
        <w:t>元</w:t>
      </w:r>
      <w:r w:rsidR="00B0788A" w:rsidRPr="00F05BBB">
        <w:rPr>
          <w:rFonts w:ascii="標楷體" w:eastAsia="標楷體" w:hAnsi="標楷體" w:hint="eastAsia"/>
          <w:sz w:val="28"/>
        </w:rPr>
        <w:t>，</w:t>
      </w:r>
      <w:r w:rsidRPr="00F05BBB">
        <w:rPr>
          <w:rFonts w:ascii="標楷體" w:eastAsia="標楷體" w:hAnsi="標楷體" w:hint="eastAsia"/>
          <w:sz w:val="28"/>
        </w:rPr>
        <w:t>執行數</w:t>
      </w:r>
      <w:r w:rsidR="00CC4959">
        <w:rPr>
          <w:rFonts w:ascii="標楷體" w:eastAsia="標楷體" w:hAnsi="標楷體" w:hint="eastAsia"/>
          <w:sz w:val="28"/>
        </w:rPr>
        <w:t>5</w:t>
      </w:r>
      <w:r w:rsidR="007805DF">
        <w:rPr>
          <w:rFonts w:ascii="標楷體" w:eastAsia="標楷體" w:hAnsi="標楷體"/>
          <w:sz w:val="28"/>
        </w:rPr>
        <w:t>5</w:t>
      </w:r>
      <w:r w:rsidR="0077722E">
        <w:rPr>
          <w:rFonts w:ascii="標楷體" w:eastAsia="標楷體" w:hAnsi="標楷體" w:hint="eastAsia"/>
          <w:sz w:val="28"/>
        </w:rPr>
        <w:t>億</w:t>
      </w:r>
      <w:r w:rsidR="00A006C5">
        <w:rPr>
          <w:rFonts w:ascii="標楷體" w:eastAsia="標楷體" w:hAnsi="標楷體" w:hint="eastAsia"/>
          <w:sz w:val="28"/>
        </w:rPr>
        <w:t>餘</w:t>
      </w:r>
      <w:r w:rsidR="000F2234" w:rsidRPr="00F05BBB">
        <w:rPr>
          <w:rFonts w:ascii="標楷體" w:eastAsia="標楷體" w:hAnsi="標楷體" w:hint="eastAsia"/>
          <w:sz w:val="28"/>
        </w:rPr>
        <w:t>元</w:t>
      </w:r>
      <w:r w:rsidRPr="00F05BBB">
        <w:rPr>
          <w:rFonts w:ascii="標楷體" w:eastAsia="標楷體" w:hAnsi="標楷體" w:hint="eastAsia"/>
          <w:sz w:val="28"/>
        </w:rPr>
        <w:t>，占分配數</w:t>
      </w:r>
      <w:r w:rsidR="00CC4959">
        <w:rPr>
          <w:rFonts w:ascii="標楷體" w:eastAsia="標楷體" w:hAnsi="標楷體" w:hint="eastAsia"/>
          <w:sz w:val="28"/>
        </w:rPr>
        <w:t>68</w:t>
      </w:r>
      <w:r w:rsidR="000F2234" w:rsidRPr="00F05BBB">
        <w:rPr>
          <w:rFonts w:ascii="標楷體" w:eastAsia="標楷體" w:hAnsi="標楷體" w:hint="eastAsia"/>
          <w:sz w:val="28"/>
        </w:rPr>
        <w:t>億</w:t>
      </w:r>
      <w:r w:rsidR="00A006C5">
        <w:rPr>
          <w:rFonts w:ascii="標楷體" w:eastAsia="標楷體" w:hAnsi="標楷體" w:hint="eastAsia"/>
          <w:sz w:val="28"/>
        </w:rPr>
        <w:t>餘</w:t>
      </w:r>
      <w:r w:rsidR="000F2234" w:rsidRPr="00F05BBB">
        <w:rPr>
          <w:rFonts w:ascii="標楷體" w:eastAsia="標楷體" w:hAnsi="標楷體" w:hint="eastAsia"/>
          <w:sz w:val="28"/>
        </w:rPr>
        <w:t>元</w:t>
      </w:r>
      <w:r w:rsidRPr="00F05BBB">
        <w:rPr>
          <w:rFonts w:ascii="標楷體" w:eastAsia="標楷體" w:hAnsi="標楷體" w:hint="eastAsia"/>
          <w:sz w:val="28"/>
        </w:rPr>
        <w:t>之</w:t>
      </w:r>
      <w:r w:rsidR="00CC4959">
        <w:rPr>
          <w:rFonts w:ascii="標楷體" w:eastAsia="標楷體" w:hAnsi="標楷體"/>
          <w:sz w:val="28"/>
        </w:rPr>
        <w:t>8</w:t>
      </w:r>
      <w:r w:rsidR="007805DF">
        <w:rPr>
          <w:rFonts w:ascii="標楷體" w:eastAsia="標楷體" w:hAnsi="標楷體"/>
          <w:sz w:val="28"/>
        </w:rPr>
        <w:t>1</w:t>
      </w:r>
      <w:r w:rsidRPr="00F05BBB">
        <w:rPr>
          <w:rFonts w:ascii="標楷體" w:eastAsia="標楷體" w:hAnsi="標楷體" w:hint="eastAsia"/>
          <w:sz w:val="28"/>
        </w:rPr>
        <w:t>％。</w:t>
      </w:r>
    </w:p>
    <w:p w:rsidR="00FE1DAB" w:rsidRPr="00F05BBB" w:rsidRDefault="00FE1DAB" w:rsidP="00801857">
      <w:pPr>
        <w:pStyle w:val="7"/>
        <w:numPr>
          <w:ilvl w:val="0"/>
          <w:numId w:val="14"/>
        </w:numPr>
        <w:ind w:left="616" w:hanging="616"/>
        <w:rPr>
          <w:rFonts w:ascii="標楷體" w:eastAsia="標楷體" w:hAnsi="標楷體"/>
          <w:sz w:val="28"/>
        </w:rPr>
      </w:pPr>
      <w:r w:rsidRPr="00F05BBB">
        <w:rPr>
          <w:rFonts w:ascii="標楷體" w:eastAsia="標楷體" w:hAnsi="標楷體" w:hint="eastAsia"/>
          <w:sz w:val="28"/>
        </w:rPr>
        <w:t>行政院主管：</w:t>
      </w:r>
      <w:r w:rsidR="00B0788A" w:rsidRPr="00F05BBB">
        <w:rPr>
          <w:rFonts w:ascii="標楷體" w:eastAsia="標楷體" w:hAnsi="標楷體" w:hint="eastAsia"/>
          <w:sz w:val="28"/>
        </w:rPr>
        <w:t>預算數</w:t>
      </w:r>
      <w:r w:rsidR="00922AFD" w:rsidRPr="00F05BBB">
        <w:rPr>
          <w:rFonts w:ascii="標楷體" w:eastAsia="標楷體" w:hAnsi="標楷體" w:hint="eastAsia"/>
          <w:sz w:val="28"/>
        </w:rPr>
        <w:t>2</w:t>
      </w:r>
      <w:r w:rsidR="00CC4959">
        <w:rPr>
          <w:rFonts w:ascii="標楷體" w:eastAsia="標楷體" w:hAnsi="標楷體"/>
          <w:sz w:val="28"/>
        </w:rPr>
        <w:t>6</w:t>
      </w:r>
      <w:r w:rsidR="00A36982">
        <w:rPr>
          <w:rFonts w:ascii="標楷體" w:eastAsia="標楷體" w:hAnsi="標楷體" w:hint="eastAsia"/>
          <w:sz w:val="28"/>
        </w:rPr>
        <w:t>3</w:t>
      </w:r>
      <w:r w:rsidR="000F2234" w:rsidRPr="00F05BBB">
        <w:rPr>
          <w:rFonts w:ascii="標楷體" w:eastAsia="標楷體" w:hAnsi="標楷體" w:hint="eastAsia"/>
          <w:sz w:val="28"/>
        </w:rPr>
        <w:t>億</w:t>
      </w:r>
      <w:r w:rsidR="00A006C5">
        <w:rPr>
          <w:rFonts w:ascii="標楷體" w:eastAsia="標楷體" w:hAnsi="標楷體" w:hint="eastAsia"/>
          <w:sz w:val="28"/>
        </w:rPr>
        <w:t>餘</w:t>
      </w:r>
      <w:r w:rsidR="000F2234" w:rsidRPr="00F05BBB">
        <w:rPr>
          <w:rFonts w:ascii="標楷體" w:eastAsia="標楷體" w:hAnsi="標楷體" w:hint="eastAsia"/>
          <w:sz w:val="28"/>
        </w:rPr>
        <w:t>元</w:t>
      </w:r>
      <w:r w:rsidR="00B0788A" w:rsidRPr="00F05BBB">
        <w:rPr>
          <w:rFonts w:ascii="標楷體" w:eastAsia="標楷體" w:hAnsi="標楷體" w:hint="eastAsia"/>
          <w:sz w:val="28"/>
        </w:rPr>
        <w:t>，</w:t>
      </w:r>
      <w:r w:rsidRPr="00F05BBB">
        <w:rPr>
          <w:rFonts w:ascii="標楷體" w:eastAsia="標楷體" w:hAnsi="標楷體" w:hint="eastAsia"/>
          <w:sz w:val="28"/>
        </w:rPr>
        <w:t>執行數</w:t>
      </w:r>
      <w:r w:rsidR="00CC4959">
        <w:rPr>
          <w:rFonts w:ascii="標楷體" w:eastAsia="標楷體" w:hAnsi="標楷體" w:hint="eastAsia"/>
          <w:sz w:val="28"/>
        </w:rPr>
        <w:t>11</w:t>
      </w:r>
      <w:r w:rsidR="007805DF">
        <w:rPr>
          <w:rFonts w:ascii="標楷體" w:eastAsia="標楷體" w:hAnsi="標楷體"/>
          <w:sz w:val="28"/>
        </w:rPr>
        <w:t>7</w:t>
      </w:r>
      <w:r w:rsidR="000F2234" w:rsidRPr="00F05BBB">
        <w:rPr>
          <w:rFonts w:ascii="標楷體" w:eastAsia="標楷體" w:hAnsi="標楷體" w:hint="eastAsia"/>
          <w:sz w:val="28"/>
        </w:rPr>
        <w:t>億</w:t>
      </w:r>
      <w:r w:rsidR="00A006C5">
        <w:rPr>
          <w:rFonts w:ascii="標楷體" w:eastAsia="標楷體" w:hAnsi="標楷體" w:hint="eastAsia"/>
          <w:sz w:val="28"/>
        </w:rPr>
        <w:t>餘</w:t>
      </w:r>
      <w:r w:rsidR="000F2234" w:rsidRPr="00F05BBB">
        <w:rPr>
          <w:rFonts w:ascii="標楷體" w:eastAsia="標楷體" w:hAnsi="標楷體" w:hint="eastAsia"/>
          <w:sz w:val="28"/>
        </w:rPr>
        <w:t>元</w:t>
      </w:r>
      <w:r w:rsidRPr="00F05BBB">
        <w:rPr>
          <w:rFonts w:ascii="標楷體" w:eastAsia="標楷體" w:hAnsi="標楷體" w:hint="eastAsia"/>
          <w:sz w:val="28"/>
        </w:rPr>
        <w:t>，占分配數</w:t>
      </w:r>
      <w:r w:rsidR="00CC4959">
        <w:rPr>
          <w:rFonts w:ascii="標楷體" w:eastAsia="標楷體" w:hAnsi="標楷體" w:hint="eastAsia"/>
          <w:sz w:val="28"/>
        </w:rPr>
        <w:t>12</w:t>
      </w:r>
      <w:r w:rsidR="007805DF">
        <w:rPr>
          <w:rFonts w:ascii="標楷體" w:eastAsia="標楷體" w:hAnsi="標楷體"/>
          <w:sz w:val="28"/>
        </w:rPr>
        <w:t>8</w:t>
      </w:r>
      <w:r w:rsidR="0077722E">
        <w:rPr>
          <w:rFonts w:ascii="標楷體" w:eastAsia="標楷體" w:hAnsi="標楷體" w:hint="eastAsia"/>
          <w:sz w:val="28"/>
        </w:rPr>
        <w:t>億</w:t>
      </w:r>
      <w:r w:rsidR="00A006C5">
        <w:rPr>
          <w:rFonts w:ascii="標楷體" w:eastAsia="標楷體" w:hAnsi="標楷體" w:hint="eastAsia"/>
          <w:sz w:val="28"/>
        </w:rPr>
        <w:t>餘</w:t>
      </w:r>
      <w:r w:rsidR="000F2234" w:rsidRPr="00F05BBB">
        <w:rPr>
          <w:rFonts w:ascii="標楷體" w:eastAsia="標楷體" w:hAnsi="標楷體" w:hint="eastAsia"/>
          <w:sz w:val="28"/>
        </w:rPr>
        <w:t>元</w:t>
      </w:r>
      <w:r w:rsidRPr="00F05BBB">
        <w:rPr>
          <w:rFonts w:ascii="標楷體" w:eastAsia="標楷體" w:hAnsi="標楷體" w:hint="eastAsia"/>
          <w:sz w:val="28"/>
        </w:rPr>
        <w:t>之</w:t>
      </w:r>
      <w:r w:rsidR="007805DF">
        <w:rPr>
          <w:rFonts w:ascii="標楷體" w:eastAsia="標楷體" w:hAnsi="標楷體"/>
          <w:sz w:val="28"/>
        </w:rPr>
        <w:t>91.4</w:t>
      </w:r>
      <w:r w:rsidRPr="00F05BBB">
        <w:rPr>
          <w:rFonts w:ascii="標楷體" w:eastAsia="標楷體" w:hAnsi="標楷體" w:hint="eastAsia"/>
          <w:sz w:val="28"/>
        </w:rPr>
        <w:t>％。</w:t>
      </w:r>
    </w:p>
    <w:p w:rsidR="00FE1DAB" w:rsidRPr="00F05BBB" w:rsidRDefault="00FE1DAB" w:rsidP="00801857">
      <w:pPr>
        <w:pStyle w:val="7"/>
        <w:numPr>
          <w:ilvl w:val="0"/>
          <w:numId w:val="14"/>
        </w:numPr>
        <w:ind w:left="616" w:hanging="616"/>
        <w:rPr>
          <w:rFonts w:ascii="標楷體" w:eastAsia="標楷體" w:hAnsi="標楷體"/>
          <w:sz w:val="28"/>
        </w:rPr>
      </w:pPr>
      <w:r w:rsidRPr="00F05BBB">
        <w:rPr>
          <w:rFonts w:ascii="標楷體" w:eastAsia="標楷體" w:hAnsi="標楷體" w:hint="eastAsia"/>
          <w:sz w:val="28"/>
        </w:rPr>
        <w:t>立法院主管：</w:t>
      </w:r>
      <w:r w:rsidR="00B0788A" w:rsidRPr="00F05BBB">
        <w:rPr>
          <w:rFonts w:ascii="標楷體" w:eastAsia="標楷體" w:hAnsi="標楷體" w:hint="eastAsia"/>
          <w:sz w:val="28"/>
        </w:rPr>
        <w:t>預算數</w:t>
      </w:r>
      <w:r w:rsidR="00CC4959">
        <w:rPr>
          <w:rFonts w:ascii="標楷體" w:eastAsia="標楷體" w:hAnsi="標楷體"/>
          <w:sz w:val="28"/>
        </w:rPr>
        <w:t>3</w:t>
      </w:r>
      <w:r w:rsidR="00A36982">
        <w:rPr>
          <w:rFonts w:ascii="標楷體" w:eastAsia="標楷體" w:hAnsi="標楷體" w:hint="eastAsia"/>
          <w:sz w:val="28"/>
        </w:rPr>
        <w:t>5</w:t>
      </w:r>
      <w:r w:rsidR="0077722E">
        <w:rPr>
          <w:rFonts w:ascii="標楷體" w:eastAsia="標楷體" w:hAnsi="標楷體" w:hint="eastAsia"/>
          <w:sz w:val="28"/>
        </w:rPr>
        <w:t>億</w:t>
      </w:r>
      <w:r w:rsidR="00A006C5">
        <w:rPr>
          <w:rFonts w:ascii="標楷體" w:eastAsia="標楷體" w:hAnsi="標楷體" w:hint="eastAsia"/>
          <w:sz w:val="28"/>
        </w:rPr>
        <w:t>餘</w:t>
      </w:r>
      <w:r w:rsidR="000F2234" w:rsidRPr="00F05BBB">
        <w:rPr>
          <w:rFonts w:ascii="標楷體" w:eastAsia="標楷體" w:hAnsi="標楷體" w:hint="eastAsia"/>
          <w:sz w:val="28"/>
        </w:rPr>
        <w:t>元</w:t>
      </w:r>
      <w:r w:rsidR="00B0788A" w:rsidRPr="00F05BBB">
        <w:rPr>
          <w:rFonts w:ascii="標楷體" w:eastAsia="標楷體" w:hAnsi="標楷體" w:hint="eastAsia"/>
          <w:sz w:val="28"/>
        </w:rPr>
        <w:t>，</w:t>
      </w:r>
      <w:r w:rsidRPr="00F05BBB">
        <w:rPr>
          <w:rFonts w:ascii="標楷體" w:eastAsia="標楷體" w:hAnsi="標楷體" w:hint="eastAsia"/>
          <w:sz w:val="28"/>
        </w:rPr>
        <w:t>執行數</w:t>
      </w:r>
      <w:r w:rsidR="00CC4959">
        <w:rPr>
          <w:rFonts w:ascii="標楷體" w:eastAsia="標楷體" w:hAnsi="標楷體" w:hint="eastAsia"/>
          <w:sz w:val="28"/>
        </w:rPr>
        <w:t>1</w:t>
      </w:r>
      <w:r w:rsidR="00CE6E09">
        <w:rPr>
          <w:rFonts w:ascii="標楷體" w:eastAsia="標楷體" w:hAnsi="標楷體" w:hint="eastAsia"/>
          <w:sz w:val="28"/>
        </w:rPr>
        <w:t>5</w:t>
      </w:r>
      <w:r w:rsidR="0077722E">
        <w:rPr>
          <w:rFonts w:ascii="標楷體" w:eastAsia="標楷體" w:hAnsi="標楷體" w:hint="eastAsia"/>
          <w:sz w:val="28"/>
        </w:rPr>
        <w:t>億</w:t>
      </w:r>
      <w:r w:rsidR="00A006C5">
        <w:rPr>
          <w:rFonts w:ascii="標楷體" w:eastAsia="標楷體" w:hAnsi="標楷體" w:hint="eastAsia"/>
          <w:sz w:val="28"/>
        </w:rPr>
        <w:t>餘</w:t>
      </w:r>
      <w:r w:rsidR="000F2234" w:rsidRPr="00F05BBB">
        <w:rPr>
          <w:rFonts w:ascii="標楷體" w:eastAsia="標楷體" w:hAnsi="標楷體" w:hint="eastAsia"/>
          <w:sz w:val="28"/>
        </w:rPr>
        <w:t>元</w:t>
      </w:r>
      <w:r w:rsidRPr="00F05BBB">
        <w:rPr>
          <w:rFonts w:ascii="標楷體" w:eastAsia="標楷體" w:hAnsi="標楷體" w:hint="eastAsia"/>
          <w:sz w:val="28"/>
        </w:rPr>
        <w:t>，占分配數</w:t>
      </w:r>
      <w:r w:rsidR="00497E28" w:rsidRPr="00F05BBB">
        <w:rPr>
          <w:rFonts w:ascii="標楷體" w:eastAsia="標楷體" w:hAnsi="標楷體" w:hint="eastAsia"/>
          <w:sz w:val="28"/>
        </w:rPr>
        <w:t>1</w:t>
      </w:r>
      <w:r w:rsidR="00CE6E09">
        <w:rPr>
          <w:rFonts w:ascii="標楷體" w:eastAsia="標楷體" w:hAnsi="標楷體" w:hint="eastAsia"/>
          <w:sz w:val="28"/>
        </w:rPr>
        <w:t>7</w:t>
      </w:r>
      <w:r w:rsidR="000F2234" w:rsidRPr="00F05BBB">
        <w:rPr>
          <w:rFonts w:ascii="標楷體" w:eastAsia="標楷體" w:hAnsi="標楷體" w:hint="eastAsia"/>
          <w:sz w:val="28"/>
        </w:rPr>
        <w:t>億</w:t>
      </w:r>
      <w:r w:rsidR="00A006C5">
        <w:rPr>
          <w:rFonts w:ascii="標楷體" w:eastAsia="標楷體" w:hAnsi="標楷體" w:hint="eastAsia"/>
          <w:sz w:val="28"/>
        </w:rPr>
        <w:t>餘</w:t>
      </w:r>
      <w:r w:rsidR="000F2234" w:rsidRPr="00F05BBB">
        <w:rPr>
          <w:rFonts w:ascii="標楷體" w:eastAsia="標楷體" w:hAnsi="標楷體" w:hint="eastAsia"/>
          <w:sz w:val="28"/>
        </w:rPr>
        <w:t>元</w:t>
      </w:r>
      <w:r w:rsidRPr="00F05BBB">
        <w:rPr>
          <w:rFonts w:ascii="標楷體" w:eastAsia="標楷體" w:hAnsi="標楷體" w:hint="eastAsia"/>
          <w:sz w:val="28"/>
        </w:rPr>
        <w:t>之</w:t>
      </w:r>
      <w:r w:rsidR="007805DF">
        <w:rPr>
          <w:rFonts w:ascii="標楷體" w:eastAsia="標楷體" w:hAnsi="標楷體"/>
          <w:sz w:val="28"/>
        </w:rPr>
        <w:t>89.2</w:t>
      </w:r>
      <w:r w:rsidRPr="00F05BBB">
        <w:rPr>
          <w:rFonts w:ascii="標楷體" w:eastAsia="標楷體" w:hAnsi="標楷體" w:hint="eastAsia"/>
          <w:sz w:val="28"/>
        </w:rPr>
        <w:t>％。</w:t>
      </w:r>
    </w:p>
    <w:p w:rsidR="00FE1DAB" w:rsidRPr="00F05BBB" w:rsidRDefault="00FE1DAB" w:rsidP="00801857">
      <w:pPr>
        <w:pStyle w:val="7"/>
        <w:numPr>
          <w:ilvl w:val="0"/>
          <w:numId w:val="14"/>
        </w:numPr>
        <w:ind w:left="616" w:hanging="616"/>
        <w:rPr>
          <w:rFonts w:ascii="標楷體" w:eastAsia="標楷體" w:hAnsi="標楷體"/>
          <w:sz w:val="28"/>
        </w:rPr>
      </w:pPr>
      <w:r w:rsidRPr="00F05BBB">
        <w:rPr>
          <w:rFonts w:ascii="標楷體" w:eastAsia="標楷體" w:hAnsi="標楷體" w:hint="eastAsia"/>
          <w:sz w:val="28"/>
        </w:rPr>
        <w:t>司法院主管：</w:t>
      </w:r>
      <w:r w:rsidR="00B0788A" w:rsidRPr="00F05BBB">
        <w:rPr>
          <w:rFonts w:ascii="標楷體" w:eastAsia="標楷體" w:hAnsi="標楷體" w:hint="eastAsia"/>
          <w:sz w:val="28"/>
        </w:rPr>
        <w:t>預算數</w:t>
      </w:r>
      <w:r w:rsidR="000902CE" w:rsidRPr="00F05BBB">
        <w:rPr>
          <w:rFonts w:ascii="標楷體" w:eastAsia="標楷體" w:hAnsi="標楷體" w:hint="eastAsia"/>
          <w:sz w:val="28"/>
        </w:rPr>
        <w:t>2</w:t>
      </w:r>
      <w:r w:rsidR="00A36982">
        <w:rPr>
          <w:rFonts w:ascii="標楷體" w:eastAsia="標楷體" w:hAnsi="標楷體" w:hint="eastAsia"/>
          <w:sz w:val="28"/>
        </w:rPr>
        <w:t>33</w:t>
      </w:r>
      <w:r w:rsidR="000F2234" w:rsidRPr="00F05BBB">
        <w:rPr>
          <w:rFonts w:ascii="標楷體" w:eastAsia="標楷體" w:hAnsi="標楷體" w:hint="eastAsia"/>
          <w:sz w:val="28"/>
        </w:rPr>
        <w:t>億</w:t>
      </w:r>
      <w:r w:rsidR="00A006C5">
        <w:rPr>
          <w:rFonts w:ascii="標楷體" w:eastAsia="標楷體" w:hAnsi="標楷體" w:hint="eastAsia"/>
          <w:sz w:val="28"/>
        </w:rPr>
        <w:t>餘</w:t>
      </w:r>
      <w:r w:rsidR="000F2234" w:rsidRPr="00F05BBB">
        <w:rPr>
          <w:rFonts w:ascii="標楷體" w:eastAsia="標楷體" w:hAnsi="標楷體" w:hint="eastAsia"/>
          <w:sz w:val="28"/>
        </w:rPr>
        <w:t>元</w:t>
      </w:r>
      <w:r w:rsidR="00B0788A" w:rsidRPr="00F05BBB">
        <w:rPr>
          <w:rFonts w:ascii="標楷體" w:eastAsia="標楷體" w:hAnsi="標楷體" w:hint="eastAsia"/>
          <w:sz w:val="28"/>
        </w:rPr>
        <w:t>，</w:t>
      </w:r>
      <w:r w:rsidRPr="00F05BBB">
        <w:rPr>
          <w:rFonts w:ascii="標楷體" w:eastAsia="標楷體" w:hAnsi="標楷體" w:hint="eastAsia"/>
          <w:sz w:val="28"/>
        </w:rPr>
        <w:t>執行數</w:t>
      </w:r>
      <w:r w:rsidR="00A47515" w:rsidRPr="00F05BBB">
        <w:rPr>
          <w:rFonts w:ascii="標楷體" w:eastAsia="標楷體" w:hAnsi="標楷體" w:hint="eastAsia"/>
          <w:sz w:val="28"/>
        </w:rPr>
        <w:t>1</w:t>
      </w:r>
      <w:r w:rsidR="00473AA4">
        <w:rPr>
          <w:rFonts w:ascii="標楷體" w:eastAsia="標楷體" w:hAnsi="標楷體"/>
          <w:sz w:val="28"/>
        </w:rPr>
        <w:t>23</w:t>
      </w:r>
      <w:r w:rsidR="00A006C5">
        <w:rPr>
          <w:rFonts w:ascii="標楷體" w:eastAsia="標楷體" w:hAnsi="標楷體" w:hint="eastAsia"/>
          <w:sz w:val="28"/>
        </w:rPr>
        <w:t>億餘</w:t>
      </w:r>
      <w:r w:rsidR="000F2234" w:rsidRPr="00F05BBB">
        <w:rPr>
          <w:rFonts w:ascii="標楷體" w:eastAsia="標楷體" w:hAnsi="標楷體" w:hint="eastAsia"/>
          <w:sz w:val="28"/>
        </w:rPr>
        <w:t>元</w:t>
      </w:r>
      <w:r w:rsidRPr="00F05BBB">
        <w:rPr>
          <w:rFonts w:ascii="標楷體" w:eastAsia="標楷體" w:hAnsi="標楷體" w:hint="eastAsia"/>
          <w:sz w:val="28"/>
        </w:rPr>
        <w:t>，占分配數</w:t>
      </w:r>
      <w:r w:rsidR="00F739E6" w:rsidRPr="00F05BBB">
        <w:rPr>
          <w:rFonts w:ascii="標楷體" w:eastAsia="標楷體" w:hAnsi="標楷體" w:hint="eastAsia"/>
          <w:sz w:val="28"/>
        </w:rPr>
        <w:t>1</w:t>
      </w:r>
      <w:r w:rsidR="00CE6E09">
        <w:rPr>
          <w:rFonts w:ascii="標楷體" w:eastAsia="標楷體" w:hAnsi="標楷體" w:hint="eastAsia"/>
          <w:sz w:val="28"/>
        </w:rPr>
        <w:t>29</w:t>
      </w:r>
      <w:r w:rsidR="000F2234" w:rsidRPr="00F05BBB">
        <w:rPr>
          <w:rFonts w:ascii="標楷體" w:eastAsia="標楷體" w:hAnsi="標楷體" w:hint="eastAsia"/>
          <w:sz w:val="28"/>
        </w:rPr>
        <w:t>億</w:t>
      </w:r>
      <w:r w:rsidR="00A006C5">
        <w:rPr>
          <w:rFonts w:ascii="標楷體" w:eastAsia="標楷體" w:hAnsi="標楷體" w:hint="eastAsia"/>
          <w:sz w:val="28"/>
        </w:rPr>
        <w:t>餘</w:t>
      </w:r>
      <w:r w:rsidR="000F2234" w:rsidRPr="00F05BBB">
        <w:rPr>
          <w:rFonts w:ascii="標楷體" w:eastAsia="標楷體" w:hAnsi="標楷體" w:hint="eastAsia"/>
          <w:sz w:val="28"/>
        </w:rPr>
        <w:t>元</w:t>
      </w:r>
      <w:r w:rsidRPr="00F05BBB">
        <w:rPr>
          <w:rFonts w:ascii="標楷體" w:eastAsia="標楷體" w:hAnsi="標楷體" w:hint="eastAsia"/>
          <w:sz w:val="28"/>
        </w:rPr>
        <w:t>之</w:t>
      </w:r>
      <w:r w:rsidR="00CC4959">
        <w:rPr>
          <w:rFonts w:ascii="標楷體" w:eastAsia="標楷體" w:hAnsi="標楷體" w:hint="eastAsia"/>
          <w:sz w:val="28"/>
        </w:rPr>
        <w:t>95</w:t>
      </w:r>
      <w:r w:rsidRPr="00F05BBB">
        <w:rPr>
          <w:rFonts w:ascii="標楷體" w:eastAsia="標楷體" w:hAnsi="標楷體" w:hint="eastAsia"/>
          <w:sz w:val="28"/>
        </w:rPr>
        <w:t>％。</w:t>
      </w:r>
    </w:p>
    <w:p w:rsidR="00FE1DAB" w:rsidRPr="0085102E" w:rsidRDefault="00FE1DAB" w:rsidP="00801857">
      <w:pPr>
        <w:pStyle w:val="7"/>
        <w:numPr>
          <w:ilvl w:val="0"/>
          <w:numId w:val="14"/>
        </w:numPr>
        <w:ind w:left="616" w:hanging="616"/>
        <w:rPr>
          <w:rFonts w:ascii="標楷體" w:eastAsia="標楷體" w:hAnsi="標楷體"/>
          <w:sz w:val="28"/>
        </w:rPr>
      </w:pPr>
      <w:r w:rsidRPr="0085102E">
        <w:rPr>
          <w:rFonts w:ascii="標楷體" w:eastAsia="標楷體" w:hAnsi="標楷體" w:hint="eastAsia"/>
          <w:sz w:val="28"/>
        </w:rPr>
        <w:t>考試院主管：</w:t>
      </w:r>
      <w:r w:rsidR="00B0788A" w:rsidRPr="0085102E">
        <w:rPr>
          <w:rFonts w:ascii="標楷體" w:eastAsia="標楷體" w:hAnsi="標楷體" w:hint="eastAsia"/>
          <w:sz w:val="28"/>
        </w:rPr>
        <w:t>預算數</w:t>
      </w:r>
      <w:r w:rsidR="00F739E6" w:rsidRPr="0085102E">
        <w:rPr>
          <w:rFonts w:ascii="標楷體" w:eastAsia="標楷體" w:hAnsi="標楷體" w:hint="eastAsia"/>
          <w:sz w:val="28"/>
        </w:rPr>
        <w:t>2</w:t>
      </w:r>
      <w:r w:rsidR="00CC4959">
        <w:rPr>
          <w:rFonts w:ascii="標楷體" w:eastAsia="標楷體" w:hAnsi="標楷體"/>
          <w:sz w:val="28"/>
        </w:rPr>
        <w:t>5</w:t>
      </w:r>
      <w:r w:rsidR="00CE6E09">
        <w:rPr>
          <w:rFonts w:ascii="標楷體" w:eastAsia="標楷體" w:hAnsi="標楷體" w:hint="eastAsia"/>
          <w:sz w:val="28"/>
        </w:rPr>
        <w:t>7</w:t>
      </w:r>
      <w:r w:rsidR="000F2234" w:rsidRPr="0085102E">
        <w:rPr>
          <w:rFonts w:ascii="標楷體" w:eastAsia="標楷體" w:hAnsi="標楷體" w:hint="eastAsia"/>
          <w:sz w:val="28"/>
        </w:rPr>
        <w:t>億</w:t>
      </w:r>
      <w:r w:rsidR="00A006C5" w:rsidRPr="0085102E">
        <w:rPr>
          <w:rFonts w:ascii="標楷體" w:eastAsia="標楷體" w:hAnsi="標楷體" w:hint="eastAsia"/>
          <w:sz w:val="28"/>
        </w:rPr>
        <w:t>餘</w:t>
      </w:r>
      <w:r w:rsidR="000F2234" w:rsidRPr="0085102E">
        <w:rPr>
          <w:rFonts w:ascii="標楷體" w:eastAsia="標楷體" w:hAnsi="標楷體" w:hint="eastAsia"/>
          <w:sz w:val="28"/>
        </w:rPr>
        <w:t>元</w:t>
      </w:r>
      <w:r w:rsidR="00B0788A" w:rsidRPr="0085102E">
        <w:rPr>
          <w:rFonts w:ascii="標楷體" w:eastAsia="標楷體" w:hAnsi="標楷體" w:hint="eastAsia"/>
          <w:sz w:val="28"/>
        </w:rPr>
        <w:t>，</w:t>
      </w:r>
      <w:r w:rsidRPr="0085102E">
        <w:rPr>
          <w:rFonts w:ascii="標楷體" w:eastAsia="標楷體" w:hAnsi="標楷體" w:hint="eastAsia"/>
          <w:sz w:val="28"/>
        </w:rPr>
        <w:t>執行數</w:t>
      </w:r>
      <w:r w:rsidR="00F739E6" w:rsidRPr="0085102E">
        <w:rPr>
          <w:rFonts w:ascii="標楷體" w:eastAsia="標楷體" w:hAnsi="標楷體" w:hint="eastAsia"/>
          <w:sz w:val="28"/>
        </w:rPr>
        <w:t>1</w:t>
      </w:r>
      <w:r w:rsidR="00F277F8" w:rsidRPr="0085102E">
        <w:rPr>
          <w:rFonts w:ascii="標楷體" w:eastAsia="標楷體" w:hAnsi="標楷體" w:hint="eastAsia"/>
          <w:sz w:val="28"/>
        </w:rPr>
        <w:t>6</w:t>
      </w:r>
      <w:r w:rsidR="00CE6E09">
        <w:rPr>
          <w:rFonts w:ascii="標楷體" w:eastAsia="標楷體" w:hAnsi="標楷體" w:hint="eastAsia"/>
          <w:sz w:val="28"/>
        </w:rPr>
        <w:t>2</w:t>
      </w:r>
      <w:r w:rsidR="000F2234" w:rsidRPr="0085102E">
        <w:rPr>
          <w:rFonts w:ascii="標楷體" w:eastAsia="標楷體" w:hAnsi="標楷體" w:hint="eastAsia"/>
          <w:sz w:val="28"/>
        </w:rPr>
        <w:t>億</w:t>
      </w:r>
      <w:r w:rsidR="00A006C5" w:rsidRPr="0085102E">
        <w:rPr>
          <w:rFonts w:ascii="標楷體" w:eastAsia="標楷體" w:hAnsi="標楷體" w:hint="eastAsia"/>
          <w:sz w:val="28"/>
        </w:rPr>
        <w:t>餘</w:t>
      </w:r>
      <w:r w:rsidR="000F2234" w:rsidRPr="0085102E">
        <w:rPr>
          <w:rFonts w:ascii="標楷體" w:eastAsia="標楷體" w:hAnsi="標楷體" w:hint="eastAsia"/>
          <w:sz w:val="28"/>
        </w:rPr>
        <w:t>元</w:t>
      </w:r>
      <w:r w:rsidRPr="0085102E">
        <w:rPr>
          <w:rFonts w:ascii="標楷體" w:eastAsia="標楷體" w:hAnsi="標楷體" w:hint="eastAsia"/>
          <w:sz w:val="28"/>
        </w:rPr>
        <w:t>，占分配數1</w:t>
      </w:r>
      <w:r w:rsidR="00CC4959">
        <w:rPr>
          <w:rFonts w:ascii="標楷體" w:eastAsia="標楷體" w:hAnsi="標楷體" w:hint="eastAsia"/>
          <w:sz w:val="28"/>
        </w:rPr>
        <w:t>7</w:t>
      </w:r>
      <w:r w:rsidR="00CE6E09">
        <w:rPr>
          <w:rFonts w:ascii="標楷體" w:eastAsia="標楷體" w:hAnsi="標楷體" w:hint="eastAsia"/>
          <w:sz w:val="28"/>
        </w:rPr>
        <w:t>5</w:t>
      </w:r>
      <w:r w:rsidR="000F2234" w:rsidRPr="0085102E">
        <w:rPr>
          <w:rFonts w:ascii="標楷體" w:eastAsia="標楷體" w:hAnsi="標楷體" w:hint="eastAsia"/>
          <w:sz w:val="28"/>
        </w:rPr>
        <w:t>億</w:t>
      </w:r>
      <w:r w:rsidR="00A006C5" w:rsidRPr="0085102E">
        <w:rPr>
          <w:rFonts w:ascii="標楷體" w:eastAsia="標楷體" w:hAnsi="標楷體" w:hint="eastAsia"/>
          <w:sz w:val="28"/>
        </w:rPr>
        <w:t>餘</w:t>
      </w:r>
      <w:r w:rsidR="000F2234" w:rsidRPr="0085102E">
        <w:rPr>
          <w:rFonts w:ascii="標楷體" w:eastAsia="標楷體" w:hAnsi="標楷體" w:hint="eastAsia"/>
          <w:sz w:val="28"/>
        </w:rPr>
        <w:t>元</w:t>
      </w:r>
      <w:r w:rsidRPr="0085102E">
        <w:rPr>
          <w:rFonts w:ascii="標楷體" w:eastAsia="標楷體" w:hAnsi="標楷體" w:hint="eastAsia"/>
          <w:sz w:val="28"/>
        </w:rPr>
        <w:t>之</w:t>
      </w:r>
      <w:r w:rsidR="00782844" w:rsidRPr="0085102E">
        <w:rPr>
          <w:rFonts w:ascii="標楷體" w:eastAsia="標楷體" w:hAnsi="標楷體" w:hint="eastAsia"/>
          <w:sz w:val="28"/>
        </w:rPr>
        <w:t>9</w:t>
      </w:r>
      <w:r w:rsidR="00CE6E09">
        <w:rPr>
          <w:rFonts w:ascii="標楷體" w:eastAsia="標楷體" w:hAnsi="標楷體" w:hint="eastAsia"/>
          <w:sz w:val="28"/>
        </w:rPr>
        <w:t>2.9</w:t>
      </w:r>
      <w:r w:rsidRPr="0085102E">
        <w:rPr>
          <w:rFonts w:ascii="標楷體" w:eastAsia="標楷體" w:hAnsi="標楷體" w:hint="eastAsia"/>
          <w:sz w:val="28"/>
        </w:rPr>
        <w:t>％。</w:t>
      </w:r>
    </w:p>
    <w:p w:rsidR="00FE1DAB" w:rsidRPr="00F05BBB" w:rsidRDefault="00FE1DAB" w:rsidP="00801857">
      <w:pPr>
        <w:pStyle w:val="7"/>
        <w:numPr>
          <w:ilvl w:val="0"/>
          <w:numId w:val="14"/>
        </w:numPr>
        <w:ind w:left="616" w:hanging="616"/>
        <w:rPr>
          <w:rFonts w:ascii="標楷體" w:eastAsia="標楷體" w:hAnsi="標楷體"/>
          <w:sz w:val="28"/>
        </w:rPr>
      </w:pPr>
      <w:r w:rsidRPr="00F05BBB">
        <w:rPr>
          <w:rFonts w:ascii="標楷體" w:eastAsia="標楷體" w:hAnsi="標楷體" w:hint="eastAsia"/>
          <w:sz w:val="28"/>
        </w:rPr>
        <w:t>監察院主管：</w:t>
      </w:r>
      <w:r w:rsidR="00B0788A" w:rsidRPr="00F05BBB">
        <w:rPr>
          <w:rFonts w:ascii="標楷體" w:eastAsia="標楷體" w:hAnsi="標楷體" w:hint="eastAsia"/>
          <w:sz w:val="28"/>
        </w:rPr>
        <w:t>預算數</w:t>
      </w:r>
      <w:r w:rsidR="00E93EFE" w:rsidRPr="00F05BBB">
        <w:rPr>
          <w:rFonts w:ascii="標楷體" w:eastAsia="標楷體" w:hAnsi="標楷體" w:hint="eastAsia"/>
          <w:sz w:val="28"/>
        </w:rPr>
        <w:t>2</w:t>
      </w:r>
      <w:r w:rsidR="00CC4959">
        <w:rPr>
          <w:rFonts w:ascii="標楷體" w:eastAsia="標楷體" w:hAnsi="標楷體" w:hint="eastAsia"/>
          <w:sz w:val="28"/>
        </w:rPr>
        <w:t>2</w:t>
      </w:r>
      <w:r w:rsidR="000F2234" w:rsidRPr="00F05BBB">
        <w:rPr>
          <w:rFonts w:ascii="標楷體" w:eastAsia="標楷體" w:hAnsi="標楷體" w:hint="eastAsia"/>
          <w:sz w:val="28"/>
        </w:rPr>
        <w:t>億</w:t>
      </w:r>
      <w:r w:rsidR="00A006C5">
        <w:rPr>
          <w:rFonts w:ascii="標楷體" w:eastAsia="標楷體" w:hAnsi="標楷體" w:hint="eastAsia"/>
          <w:sz w:val="28"/>
        </w:rPr>
        <w:t>餘</w:t>
      </w:r>
      <w:r w:rsidR="000F2234" w:rsidRPr="00F05BBB">
        <w:rPr>
          <w:rFonts w:ascii="標楷體" w:eastAsia="標楷體" w:hAnsi="標楷體" w:hint="eastAsia"/>
          <w:sz w:val="28"/>
        </w:rPr>
        <w:t>元</w:t>
      </w:r>
      <w:r w:rsidR="00B0788A" w:rsidRPr="00F05BBB">
        <w:rPr>
          <w:rFonts w:ascii="標楷體" w:eastAsia="標楷體" w:hAnsi="標楷體" w:hint="eastAsia"/>
          <w:sz w:val="28"/>
        </w:rPr>
        <w:t>，</w:t>
      </w:r>
      <w:r w:rsidRPr="00F05BBB">
        <w:rPr>
          <w:rFonts w:ascii="標楷體" w:eastAsia="標楷體" w:hAnsi="標楷體" w:hint="eastAsia"/>
          <w:sz w:val="28"/>
        </w:rPr>
        <w:t>執行數</w:t>
      </w:r>
      <w:r w:rsidRPr="00F05BBB">
        <w:rPr>
          <w:rFonts w:ascii="標楷體" w:eastAsia="標楷體" w:hAnsi="標楷體"/>
          <w:sz w:val="28"/>
        </w:rPr>
        <w:t>1</w:t>
      </w:r>
      <w:r w:rsidR="00CE6E09">
        <w:rPr>
          <w:rFonts w:ascii="標楷體" w:eastAsia="標楷體" w:hAnsi="標楷體" w:hint="eastAsia"/>
          <w:sz w:val="28"/>
        </w:rPr>
        <w:t>1</w:t>
      </w:r>
      <w:r w:rsidR="000F2234" w:rsidRPr="00F05BBB">
        <w:rPr>
          <w:rFonts w:ascii="標楷體" w:eastAsia="標楷體" w:hAnsi="標楷體" w:hint="eastAsia"/>
          <w:sz w:val="28"/>
        </w:rPr>
        <w:t>億</w:t>
      </w:r>
      <w:r w:rsidR="00A006C5">
        <w:rPr>
          <w:rFonts w:ascii="標楷體" w:eastAsia="標楷體" w:hAnsi="標楷體" w:hint="eastAsia"/>
          <w:sz w:val="28"/>
        </w:rPr>
        <w:t>餘</w:t>
      </w:r>
      <w:r w:rsidR="000F2234" w:rsidRPr="00F05BBB">
        <w:rPr>
          <w:rFonts w:ascii="標楷體" w:eastAsia="標楷體" w:hAnsi="標楷體" w:hint="eastAsia"/>
          <w:sz w:val="28"/>
        </w:rPr>
        <w:t>元</w:t>
      </w:r>
      <w:r w:rsidRPr="00F05BBB">
        <w:rPr>
          <w:rFonts w:ascii="標楷體" w:eastAsia="標楷體" w:hAnsi="標楷體" w:hint="eastAsia"/>
          <w:sz w:val="28"/>
        </w:rPr>
        <w:t>，占分配數</w:t>
      </w:r>
      <w:r w:rsidR="00137091" w:rsidRPr="00F05BBB">
        <w:rPr>
          <w:rFonts w:ascii="標楷體" w:eastAsia="標楷體" w:hAnsi="標楷體" w:hint="eastAsia"/>
          <w:sz w:val="28"/>
        </w:rPr>
        <w:t>1</w:t>
      </w:r>
      <w:r w:rsidR="00CE6E09">
        <w:rPr>
          <w:rFonts w:ascii="標楷體" w:eastAsia="標楷體" w:hAnsi="標楷體" w:hint="eastAsia"/>
          <w:sz w:val="28"/>
        </w:rPr>
        <w:t>2</w:t>
      </w:r>
      <w:r w:rsidR="00C96205">
        <w:rPr>
          <w:rFonts w:ascii="標楷體" w:eastAsia="標楷體" w:hAnsi="標楷體" w:hint="eastAsia"/>
          <w:sz w:val="28"/>
        </w:rPr>
        <w:t>億</w:t>
      </w:r>
      <w:r w:rsidR="00A006C5">
        <w:rPr>
          <w:rFonts w:ascii="標楷體" w:eastAsia="標楷體" w:hAnsi="標楷體" w:hint="eastAsia"/>
          <w:sz w:val="28"/>
        </w:rPr>
        <w:t>餘</w:t>
      </w:r>
      <w:r w:rsidR="000F2234" w:rsidRPr="00F05BBB">
        <w:rPr>
          <w:rFonts w:ascii="標楷體" w:eastAsia="標楷體" w:hAnsi="標楷體" w:hint="eastAsia"/>
          <w:sz w:val="28"/>
        </w:rPr>
        <w:t>元</w:t>
      </w:r>
      <w:r w:rsidRPr="00F05BBB">
        <w:rPr>
          <w:rFonts w:ascii="標楷體" w:eastAsia="標楷體" w:hAnsi="標楷體" w:hint="eastAsia"/>
          <w:sz w:val="28"/>
        </w:rPr>
        <w:t>之</w:t>
      </w:r>
      <w:r w:rsidR="00F277F8">
        <w:rPr>
          <w:rFonts w:ascii="標楷體" w:eastAsia="標楷體" w:hAnsi="標楷體"/>
          <w:sz w:val="28"/>
        </w:rPr>
        <w:t>9</w:t>
      </w:r>
      <w:r w:rsidR="00473AA4">
        <w:rPr>
          <w:rFonts w:ascii="標楷體" w:eastAsia="標楷體" w:hAnsi="標楷體"/>
          <w:sz w:val="28"/>
        </w:rPr>
        <w:t>0.6</w:t>
      </w:r>
      <w:r w:rsidRPr="00F05BBB">
        <w:rPr>
          <w:rFonts w:ascii="標楷體" w:eastAsia="標楷體" w:hAnsi="標楷體" w:hint="eastAsia"/>
          <w:sz w:val="28"/>
        </w:rPr>
        <w:t>％。</w:t>
      </w:r>
    </w:p>
    <w:p w:rsidR="00D3689E" w:rsidRDefault="00FE1DAB" w:rsidP="00801857">
      <w:pPr>
        <w:pStyle w:val="7"/>
        <w:numPr>
          <w:ilvl w:val="0"/>
          <w:numId w:val="14"/>
        </w:numPr>
        <w:ind w:left="616" w:hanging="616"/>
        <w:rPr>
          <w:rFonts w:ascii="標楷體" w:eastAsia="標楷體" w:hAnsi="標楷體"/>
          <w:sz w:val="28"/>
        </w:rPr>
      </w:pPr>
      <w:r w:rsidRPr="00F05BBB">
        <w:rPr>
          <w:rFonts w:ascii="標楷體" w:eastAsia="標楷體" w:hAnsi="標楷體" w:hint="eastAsia"/>
          <w:sz w:val="28"/>
        </w:rPr>
        <w:t>內政部主管：</w:t>
      </w:r>
      <w:r w:rsidR="00B0788A" w:rsidRPr="00F05BBB">
        <w:rPr>
          <w:rFonts w:ascii="標楷體" w:eastAsia="標楷體" w:hAnsi="標楷體" w:hint="eastAsia"/>
          <w:sz w:val="28"/>
        </w:rPr>
        <w:t>預算數</w:t>
      </w:r>
      <w:r w:rsidR="00A36982">
        <w:rPr>
          <w:rFonts w:ascii="標楷體" w:eastAsia="標楷體" w:hAnsi="標楷體" w:hint="eastAsia"/>
          <w:sz w:val="28"/>
        </w:rPr>
        <w:t>62</w:t>
      </w:r>
      <w:r w:rsidR="00CE6E09">
        <w:rPr>
          <w:rFonts w:ascii="標楷體" w:eastAsia="標楷體" w:hAnsi="標楷體" w:hint="eastAsia"/>
          <w:sz w:val="28"/>
        </w:rPr>
        <w:t>2</w:t>
      </w:r>
      <w:r w:rsidR="000F2234" w:rsidRPr="00F05BBB">
        <w:rPr>
          <w:rFonts w:ascii="標楷體" w:eastAsia="標楷體" w:hAnsi="標楷體" w:hint="eastAsia"/>
          <w:sz w:val="28"/>
        </w:rPr>
        <w:t>億</w:t>
      </w:r>
      <w:r w:rsidR="00A006C5">
        <w:rPr>
          <w:rFonts w:ascii="標楷體" w:eastAsia="標楷體" w:hAnsi="標楷體" w:hint="eastAsia"/>
          <w:sz w:val="28"/>
        </w:rPr>
        <w:t>餘</w:t>
      </w:r>
      <w:r w:rsidR="000F2234" w:rsidRPr="00F05BBB">
        <w:rPr>
          <w:rFonts w:ascii="標楷體" w:eastAsia="標楷體" w:hAnsi="標楷體" w:hint="eastAsia"/>
          <w:sz w:val="28"/>
        </w:rPr>
        <w:t>元</w:t>
      </w:r>
      <w:r w:rsidR="00B0788A" w:rsidRPr="00F05BBB">
        <w:rPr>
          <w:rFonts w:ascii="標楷體" w:eastAsia="標楷體" w:hAnsi="標楷體" w:hint="eastAsia"/>
          <w:sz w:val="28"/>
        </w:rPr>
        <w:t>，</w:t>
      </w:r>
      <w:r w:rsidRPr="00F05BBB">
        <w:rPr>
          <w:rFonts w:ascii="標楷體" w:eastAsia="標楷體" w:hAnsi="標楷體" w:hint="eastAsia"/>
          <w:sz w:val="28"/>
        </w:rPr>
        <w:t>執行數</w:t>
      </w:r>
      <w:r w:rsidR="00473AA4">
        <w:rPr>
          <w:rFonts w:ascii="標楷體" w:eastAsia="標楷體" w:hAnsi="標楷體"/>
          <w:sz w:val="28"/>
        </w:rPr>
        <w:t>300</w:t>
      </w:r>
      <w:r w:rsidR="000F2234" w:rsidRPr="00F05BBB">
        <w:rPr>
          <w:rFonts w:ascii="標楷體" w:eastAsia="標楷體" w:hAnsi="標楷體" w:hint="eastAsia"/>
          <w:sz w:val="28"/>
        </w:rPr>
        <w:t>億</w:t>
      </w:r>
      <w:r w:rsidR="00A006C5">
        <w:rPr>
          <w:rFonts w:ascii="標楷體" w:eastAsia="標楷體" w:hAnsi="標楷體" w:hint="eastAsia"/>
          <w:sz w:val="28"/>
        </w:rPr>
        <w:t>餘</w:t>
      </w:r>
      <w:r w:rsidR="000F2234" w:rsidRPr="00F05BBB">
        <w:rPr>
          <w:rFonts w:ascii="標楷體" w:eastAsia="標楷體" w:hAnsi="標楷體" w:hint="eastAsia"/>
          <w:sz w:val="28"/>
        </w:rPr>
        <w:t>元</w:t>
      </w:r>
      <w:r w:rsidRPr="00F05BBB">
        <w:rPr>
          <w:rFonts w:ascii="標楷體" w:eastAsia="標楷體" w:hAnsi="標楷體" w:hint="eastAsia"/>
          <w:sz w:val="28"/>
        </w:rPr>
        <w:t>，占分配數</w:t>
      </w:r>
      <w:r w:rsidR="00473AA4">
        <w:rPr>
          <w:rFonts w:ascii="標楷體" w:eastAsia="標楷體" w:hAnsi="標楷體"/>
          <w:sz w:val="28"/>
        </w:rPr>
        <w:t>31</w:t>
      </w:r>
      <w:r w:rsidR="00CE6E09">
        <w:rPr>
          <w:rFonts w:ascii="標楷體" w:eastAsia="標楷體" w:hAnsi="標楷體" w:hint="eastAsia"/>
          <w:sz w:val="28"/>
        </w:rPr>
        <w:t>6</w:t>
      </w:r>
      <w:r w:rsidR="000F2234" w:rsidRPr="00F05BBB">
        <w:rPr>
          <w:rFonts w:ascii="標楷體" w:eastAsia="標楷體" w:hAnsi="標楷體" w:hint="eastAsia"/>
          <w:sz w:val="28"/>
        </w:rPr>
        <w:t>億</w:t>
      </w:r>
      <w:r w:rsidR="00A006C5">
        <w:rPr>
          <w:rFonts w:ascii="標楷體" w:eastAsia="標楷體" w:hAnsi="標楷體" w:hint="eastAsia"/>
          <w:sz w:val="28"/>
        </w:rPr>
        <w:t>餘</w:t>
      </w:r>
      <w:r w:rsidR="000F2234" w:rsidRPr="00F05BBB">
        <w:rPr>
          <w:rFonts w:ascii="標楷體" w:eastAsia="標楷體" w:hAnsi="標楷體" w:hint="eastAsia"/>
          <w:sz w:val="28"/>
        </w:rPr>
        <w:t>元</w:t>
      </w:r>
      <w:r w:rsidRPr="00F05BBB">
        <w:rPr>
          <w:rFonts w:ascii="標楷體" w:eastAsia="標楷體" w:hAnsi="標楷體" w:hint="eastAsia"/>
          <w:sz w:val="28"/>
        </w:rPr>
        <w:t>之</w:t>
      </w:r>
      <w:r w:rsidR="005D019A" w:rsidRPr="00F05BBB">
        <w:rPr>
          <w:rFonts w:ascii="標楷體" w:eastAsia="標楷體" w:hAnsi="標楷體" w:hint="eastAsia"/>
          <w:sz w:val="28"/>
        </w:rPr>
        <w:t>9</w:t>
      </w:r>
      <w:r w:rsidR="00CC4959">
        <w:rPr>
          <w:rFonts w:ascii="標楷體" w:eastAsia="標楷體" w:hAnsi="標楷體"/>
          <w:sz w:val="28"/>
        </w:rPr>
        <w:t>4</w:t>
      </w:r>
      <w:r w:rsidR="00473AA4">
        <w:rPr>
          <w:rFonts w:ascii="標楷體" w:eastAsia="標楷體" w:hAnsi="標楷體"/>
          <w:sz w:val="28"/>
        </w:rPr>
        <w:t>.8</w:t>
      </w:r>
      <w:r w:rsidRPr="00F05BBB">
        <w:rPr>
          <w:rFonts w:ascii="標楷體" w:eastAsia="標楷體" w:hAnsi="標楷體" w:hint="eastAsia"/>
          <w:sz w:val="28"/>
        </w:rPr>
        <w:t>％。</w:t>
      </w:r>
    </w:p>
    <w:p w:rsidR="00D3689E" w:rsidRPr="00D3689E" w:rsidRDefault="00D3689E" w:rsidP="00801857">
      <w:pPr>
        <w:pStyle w:val="7"/>
        <w:numPr>
          <w:ilvl w:val="0"/>
          <w:numId w:val="14"/>
        </w:numPr>
        <w:ind w:left="616" w:hanging="616"/>
        <w:rPr>
          <w:rFonts w:ascii="標楷體" w:eastAsia="標楷體" w:hAnsi="標楷體"/>
          <w:sz w:val="28"/>
        </w:rPr>
      </w:pPr>
      <w:r w:rsidRPr="00D3689E">
        <w:rPr>
          <w:rFonts w:ascii="標楷體" w:eastAsia="標楷體" w:hAnsi="標楷體" w:hint="eastAsia"/>
          <w:sz w:val="28"/>
        </w:rPr>
        <w:t>外交部主管：預算數2</w:t>
      </w:r>
      <w:r w:rsidR="00A36982">
        <w:rPr>
          <w:rFonts w:ascii="標楷體" w:eastAsia="標楷體" w:hAnsi="標楷體" w:hint="eastAsia"/>
          <w:sz w:val="28"/>
        </w:rPr>
        <w:t>8</w:t>
      </w:r>
      <w:r w:rsidR="00CE6E09">
        <w:rPr>
          <w:rFonts w:ascii="標楷體" w:eastAsia="標楷體" w:hAnsi="標楷體" w:hint="eastAsia"/>
          <w:sz w:val="28"/>
        </w:rPr>
        <w:t>0</w:t>
      </w:r>
      <w:r w:rsidRPr="00D3689E">
        <w:rPr>
          <w:rFonts w:ascii="標楷體" w:eastAsia="標楷體" w:hAnsi="標楷體" w:hint="eastAsia"/>
          <w:sz w:val="28"/>
        </w:rPr>
        <w:t>億餘元，執行數</w:t>
      </w:r>
      <w:r w:rsidR="00CC4959">
        <w:rPr>
          <w:rFonts w:ascii="標楷體" w:eastAsia="標楷體" w:hAnsi="標楷體" w:hint="eastAsia"/>
          <w:sz w:val="28"/>
        </w:rPr>
        <w:t>1</w:t>
      </w:r>
      <w:r w:rsidR="00473AA4">
        <w:rPr>
          <w:rFonts w:ascii="標楷體" w:eastAsia="標楷體" w:hAnsi="標楷體"/>
          <w:sz w:val="28"/>
        </w:rPr>
        <w:t>0</w:t>
      </w:r>
      <w:r w:rsidR="00CE6E09">
        <w:rPr>
          <w:rFonts w:ascii="標楷體" w:eastAsia="標楷體" w:hAnsi="標楷體" w:hint="eastAsia"/>
          <w:sz w:val="28"/>
        </w:rPr>
        <w:t>2</w:t>
      </w:r>
      <w:r w:rsidRPr="00D3689E">
        <w:rPr>
          <w:rFonts w:ascii="標楷體" w:eastAsia="標楷體" w:hAnsi="標楷體" w:hint="eastAsia"/>
          <w:sz w:val="28"/>
        </w:rPr>
        <w:t>億餘元，占分配數</w:t>
      </w:r>
      <w:r w:rsidR="00CC4959">
        <w:rPr>
          <w:rFonts w:ascii="標楷體" w:eastAsia="標楷體" w:hAnsi="標楷體" w:hint="eastAsia"/>
          <w:sz w:val="28"/>
        </w:rPr>
        <w:t>14</w:t>
      </w:r>
      <w:r w:rsidR="00473AA4">
        <w:rPr>
          <w:rFonts w:ascii="標楷體" w:eastAsia="標楷體" w:hAnsi="標楷體"/>
          <w:sz w:val="28"/>
        </w:rPr>
        <w:t>2</w:t>
      </w:r>
      <w:r w:rsidRPr="00D3689E">
        <w:rPr>
          <w:rFonts w:ascii="標楷體" w:eastAsia="標楷體" w:hAnsi="標楷體" w:hint="eastAsia"/>
          <w:sz w:val="28"/>
        </w:rPr>
        <w:t>億餘元之</w:t>
      </w:r>
      <w:r w:rsidR="00CC4959">
        <w:rPr>
          <w:rFonts w:ascii="標楷體" w:eastAsia="標楷體" w:hAnsi="標楷體"/>
          <w:sz w:val="28"/>
        </w:rPr>
        <w:t>7</w:t>
      </w:r>
      <w:r w:rsidR="00473AA4">
        <w:rPr>
          <w:rFonts w:ascii="標楷體" w:eastAsia="標楷體" w:hAnsi="標楷體"/>
          <w:sz w:val="28"/>
        </w:rPr>
        <w:t>2.4</w:t>
      </w:r>
      <w:r w:rsidRPr="00D3689E">
        <w:rPr>
          <w:rFonts w:ascii="標楷體" w:eastAsia="標楷體" w:hAnsi="標楷體" w:hint="eastAsia"/>
          <w:sz w:val="28"/>
        </w:rPr>
        <w:t>％，</w:t>
      </w:r>
      <w:r w:rsidRPr="00D3689E">
        <w:rPr>
          <w:rFonts w:ascii="標楷體" w:eastAsia="標楷體" w:hAnsi="標楷體"/>
          <w:sz w:val="28"/>
        </w:rPr>
        <w:t>執行進度較預計</w:t>
      </w:r>
      <w:r w:rsidRPr="00D3689E">
        <w:rPr>
          <w:rFonts w:ascii="標楷體" w:eastAsia="標楷體" w:hAnsi="標楷體" w:hint="eastAsia"/>
          <w:sz w:val="28"/>
        </w:rPr>
        <w:t>落</w:t>
      </w:r>
      <w:r w:rsidRPr="00D3689E">
        <w:rPr>
          <w:rFonts w:ascii="標楷體" w:eastAsia="標楷體" w:hAnsi="標楷體"/>
          <w:sz w:val="28"/>
        </w:rPr>
        <w:t>後</w:t>
      </w:r>
      <w:r w:rsidR="00635046">
        <w:rPr>
          <w:rFonts w:ascii="標楷體" w:eastAsia="標楷體" w:hAnsi="標楷體" w:hint="eastAsia"/>
          <w:sz w:val="28"/>
        </w:rPr>
        <w:t>，</w:t>
      </w:r>
      <w:r w:rsidRPr="00D3689E">
        <w:rPr>
          <w:rFonts w:ascii="標楷體" w:eastAsia="標楷體" w:hAnsi="標楷體" w:hint="eastAsia"/>
          <w:sz w:val="28"/>
        </w:rPr>
        <w:t>主要係</w:t>
      </w:r>
      <w:r w:rsidR="00595936">
        <w:rPr>
          <w:rFonts w:ascii="標楷體" w:eastAsia="標楷體" w:hAnsi="標楷體" w:hint="eastAsia"/>
          <w:sz w:val="28"/>
          <w:lang w:eastAsia="zh-HK"/>
        </w:rPr>
        <w:t>部</w:t>
      </w:r>
      <w:r w:rsidR="00E71C37">
        <w:rPr>
          <w:rFonts w:ascii="標楷體" w:eastAsia="標楷體" w:hAnsi="標楷體" w:hint="eastAsia"/>
          <w:sz w:val="28"/>
          <w:lang w:eastAsia="zh-HK"/>
        </w:rPr>
        <w:t>分</w:t>
      </w:r>
      <w:r w:rsidR="00595936">
        <w:rPr>
          <w:rFonts w:ascii="標楷體" w:eastAsia="標楷體" w:hAnsi="標楷體" w:hint="eastAsia"/>
          <w:sz w:val="28"/>
          <w:lang w:eastAsia="zh-HK"/>
        </w:rPr>
        <w:t>計</w:t>
      </w:r>
      <w:r w:rsidR="00595936">
        <w:rPr>
          <w:rFonts w:ascii="標楷體" w:eastAsia="標楷體" w:hAnsi="標楷體" w:hint="eastAsia"/>
          <w:sz w:val="28"/>
        </w:rPr>
        <w:t>畫</w:t>
      </w:r>
      <w:r w:rsidR="001E3E3E" w:rsidRPr="001E3E3E">
        <w:rPr>
          <w:rFonts w:ascii="標楷體" w:eastAsia="標楷體" w:hAnsi="標楷體" w:hint="eastAsia"/>
          <w:sz w:val="28"/>
        </w:rPr>
        <w:t>受國內外</w:t>
      </w:r>
      <w:r w:rsidR="00E71C37" w:rsidRPr="005F7C4D">
        <w:rPr>
          <w:rFonts w:ascii="標楷體" w:eastAsia="標楷體" w:hAnsi="標楷體" w:hint="eastAsia"/>
          <w:sz w:val="28"/>
          <w:lang w:eastAsia="zh-HK"/>
        </w:rPr>
        <w:t>嚴重特殊傳染性肺炎（COVID－19）</w:t>
      </w:r>
      <w:proofErr w:type="gramStart"/>
      <w:r w:rsidR="001E3E3E" w:rsidRPr="001E3E3E">
        <w:rPr>
          <w:rFonts w:ascii="標楷體" w:eastAsia="標楷體" w:hAnsi="標楷體" w:hint="eastAsia"/>
          <w:sz w:val="28"/>
        </w:rPr>
        <w:t>疫</w:t>
      </w:r>
      <w:proofErr w:type="gramEnd"/>
      <w:r w:rsidR="001E3E3E" w:rsidRPr="001E3E3E">
        <w:rPr>
          <w:rFonts w:ascii="標楷體" w:eastAsia="標楷體" w:hAnsi="標楷體" w:hint="eastAsia"/>
          <w:sz w:val="28"/>
        </w:rPr>
        <w:t>情影響暫緩或延後辦理</w:t>
      </w:r>
      <w:r w:rsidR="00CB0F45">
        <w:rPr>
          <w:rFonts w:ascii="標楷體" w:eastAsia="標楷體" w:hAnsi="標楷體" w:hint="eastAsia"/>
          <w:sz w:val="28"/>
          <w:lang w:eastAsia="zh-HK"/>
        </w:rPr>
        <w:t>所致</w:t>
      </w:r>
      <w:r w:rsidRPr="00D3689E">
        <w:rPr>
          <w:rFonts w:ascii="標楷體" w:eastAsia="標楷體" w:hAnsi="標楷體" w:hint="eastAsia"/>
          <w:sz w:val="28"/>
        </w:rPr>
        <w:t>；另駐</w:t>
      </w:r>
      <w:r w:rsidRPr="00D3689E">
        <w:rPr>
          <w:rFonts w:ascii="標楷體" w:eastAsia="標楷體" w:hAnsi="標楷體"/>
          <w:sz w:val="28"/>
        </w:rPr>
        <w:t>外館舍購置計畫尚未完成採購</w:t>
      </w:r>
      <w:r w:rsidRPr="00D3689E">
        <w:rPr>
          <w:rFonts w:ascii="標楷體" w:eastAsia="標楷體" w:hAnsi="標楷體" w:hint="eastAsia"/>
          <w:sz w:val="28"/>
        </w:rPr>
        <w:t>程</w:t>
      </w:r>
      <w:r w:rsidRPr="00D3689E">
        <w:rPr>
          <w:rFonts w:ascii="標楷體" w:eastAsia="標楷體" w:hAnsi="標楷體"/>
          <w:sz w:val="28"/>
        </w:rPr>
        <w:t>序，</w:t>
      </w:r>
      <w:proofErr w:type="gramStart"/>
      <w:r w:rsidRPr="00D3689E">
        <w:rPr>
          <w:rFonts w:ascii="標楷體" w:eastAsia="標楷體" w:hAnsi="標楷體" w:hint="eastAsia"/>
          <w:sz w:val="28"/>
        </w:rPr>
        <w:t>該部已積極</w:t>
      </w:r>
      <w:proofErr w:type="gramEnd"/>
      <w:r w:rsidRPr="00D3689E">
        <w:rPr>
          <w:rFonts w:ascii="標楷體" w:eastAsia="標楷體" w:hAnsi="標楷體" w:hint="eastAsia"/>
          <w:sz w:val="28"/>
        </w:rPr>
        <w:t>加強辦理。</w:t>
      </w:r>
    </w:p>
    <w:p w:rsidR="00FE1DAB" w:rsidRPr="00F05BBB" w:rsidRDefault="00FE1DAB" w:rsidP="00801857">
      <w:pPr>
        <w:pStyle w:val="7"/>
        <w:numPr>
          <w:ilvl w:val="0"/>
          <w:numId w:val="14"/>
        </w:numPr>
        <w:ind w:left="616" w:hanging="616"/>
        <w:rPr>
          <w:rFonts w:ascii="標楷體" w:eastAsia="標楷體" w:hAnsi="標楷體"/>
          <w:sz w:val="28"/>
        </w:rPr>
      </w:pPr>
      <w:r w:rsidRPr="00C10C0E">
        <w:rPr>
          <w:rFonts w:ascii="標楷體" w:eastAsia="標楷體" w:hAnsi="標楷體" w:hint="eastAsia"/>
          <w:sz w:val="28"/>
        </w:rPr>
        <w:t>國防部主管：</w:t>
      </w:r>
      <w:r w:rsidR="00B0788A" w:rsidRPr="00F05BBB">
        <w:rPr>
          <w:rFonts w:ascii="標楷體" w:eastAsia="標楷體" w:hAnsi="標楷體" w:hint="eastAsia"/>
          <w:sz w:val="28"/>
        </w:rPr>
        <w:t>預算數</w:t>
      </w:r>
      <w:r w:rsidR="0057134A" w:rsidRPr="00F05BBB">
        <w:rPr>
          <w:rFonts w:ascii="標楷體" w:eastAsia="標楷體" w:hAnsi="標楷體" w:hint="eastAsia"/>
          <w:sz w:val="28"/>
        </w:rPr>
        <w:t>3</w:t>
      </w:r>
      <w:r w:rsidR="003F4CA1" w:rsidRPr="00F05BBB">
        <w:rPr>
          <w:rFonts w:ascii="標楷體" w:eastAsia="標楷體" w:hAnsi="標楷體" w:hint="eastAsia"/>
          <w:sz w:val="28"/>
        </w:rPr>
        <w:t>,</w:t>
      </w:r>
      <w:r w:rsidR="00A36982">
        <w:rPr>
          <w:rFonts w:ascii="標楷體" w:eastAsia="標楷體" w:hAnsi="標楷體" w:hint="eastAsia"/>
          <w:sz w:val="28"/>
        </w:rPr>
        <w:t>512</w:t>
      </w:r>
      <w:r w:rsidR="000F2234" w:rsidRPr="00F05BBB">
        <w:rPr>
          <w:rFonts w:ascii="標楷體" w:eastAsia="標楷體" w:hAnsi="標楷體" w:hint="eastAsia"/>
          <w:sz w:val="28"/>
        </w:rPr>
        <w:t>億</w:t>
      </w:r>
      <w:r w:rsidR="00A006C5">
        <w:rPr>
          <w:rFonts w:ascii="標楷體" w:eastAsia="標楷體" w:hAnsi="標楷體" w:hint="eastAsia"/>
          <w:sz w:val="28"/>
        </w:rPr>
        <w:t>餘</w:t>
      </w:r>
      <w:r w:rsidR="000F2234" w:rsidRPr="00F05BBB">
        <w:rPr>
          <w:rFonts w:ascii="標楷體" w:eastAsia="標楷體" w:hAnsi="標楷體" w:hint="eastAsia"/>
          <w:sz w:val="28"/>
        </w:rPr>
        <w:t>元</w:t>
      </w:r>
      <w:r w:rsidR="00B0788A" w:rsidRPr="00F05BBB">
        <w:rPr>
          <w:rFonts w:ascii="標楷體" w:eastAsia="標楷體" w:hAnsi="標楷體" w:hint="eastAsia"/>
          <w:sz w:val="28"/>
        </w:rPr>
        <w:t>，</w:t>
      </w:r>
      <w:r w:rsidRPr="00F05BBB">
        <w:rPr>
          <w:rFonts w:ascii="標楷體" w:eastAsia="標楷體" w:hAnsi="標楷體" w:hint="eastAsia"/>
          <w:sz w:val="28"/>
        </w:rPr>
        <w:t>執行數</w:t>
      </w:r>
      <w:r w:rsidRPr="00F05BBB">
        <w:rPr>
          <w:rFonts w:ascii="標楷體" w:eastAsia="標楷體" w:hAnsi="標楷體"/>
          <w:sz w:val="28"/>
        </w:rPr>
        <w:t>1</w:t>
      </w:r>
      <w:r w:rsidR="003F4CA1" w:rsidRPr="00F05BBB">
        <w:rPr>
          <w:rFonts w:ascii="標楷體" w:eastAsia="標楷體" w:hAnsi="標楷體" w:hint="eastAsia"/>
          <w:sz w:val="28"/>
        </w:rPr>
        <w:t>,</w:t>
      </w:r>
      <w:r w:rsidR="001808B2">
        <w:rPr>
          <w:rFonts w:ascii="標楷體" w:eastAsia="標楷體" w:hAnsi="標楷體" w:hint="eastAsia"/>
          <w:sz w:val="28"/>
        </w:rPr>
        <w:t>394</w:t>
      </w:r>
      <w:r w:rsidR="000F2234" w:rsidRPr="00F05BBB">
        <w:rPr>
          <w:rFonts w:ascii="標楷體" w:eastAsia="標楷體" w:hAnsi="標楷體" w:hint="eastAsia"/>
          <w:sz w:val="28"/>
        </w:rPr>
        <w:t>億</w:t>
      </w:r>
      <w:r w:rsidR="00A006C5">
        <w:rPr>
          <w:rFonts w:ascii="標楷體" w:eastAsia="標楷體" w:hAnsi="標楷體" w:hint="eastAsia"/>
          <w:sz w:val="28"/>
        </w:rPr>
        <w:t>餘</w:t>
      </w:r>
      <w:r w:rsidR="000F2234" w:rsidRPr="00F05BBB">
        <w:rPr>
          <w:rFonts w:ascii="標楷體" w:eastAsia="標楷體" w:hAnsi="標楷體" w:hint="eastAsia"/>
          <w:sz w:val="28"/>
        </w:rPr>
        <w:t>元</w:t>
      </w:r>
      <w:r w:rsidRPr="00F05BBB">
        <w:rPr>
          <w:rFonts w:ascii="標楷體" w:eastAsia="標楷體" w:hAnsi="標楷體" w:hint="eastAsia"/>
          <w:sz w:val="28"/>
        </w:rPr>
        <w:t>，占分配數</w:t>
      </w:r>
      <w:r w:rsidRPr="00F05BBB">
        <w:rPr>
          <w:rFonts w:ascii="標楷體" w:eastAsia="標楷體" w:hAnsi="標楷體"/>
          <w:sz w:val="28"/>
        </w:rPr>
        <w:t>1</w:t>
      </w:r>
      <w:r w:rsidR="003F4CA1" w:rsidRPr="00F05BBB">
        <w:rPr>
          <w:rFonts w:ascii="標楷體" w:eastAsia="標楷體" w:hAnsi="標楷體" w:hint="eastAsia"/>
          <w:sz w:val="28"/>
        </w:rPr>
        <w:t>,5</w:t>
      </w:r>
      <w:r w:rsidR="001808B2">
        <w:rPr>
          <w:rFonts w:ascii="標楷體" w:eastAsia="標楷體" w:hAnsi="標楷體" w:hint="eastAsia"/>
          <w:sz w:val="28"/>
        </w:rPr>
        <w:t>1</w:t>
      </w:r>
      <w:r w:rsidR="00590B30">
        <w:rPr>
          <w:rFonts w:ascii="標楷體" w:eastAsia="標楷體" w:hAnsi="標楷體" w:hint="eastAsia"/>
          <w:sz w:val="28"/>
        </w:rPr>
        <w:t>7</w:t>
      </w:r>
      <w:r w:rsidR="000F2234" w:rsidRPr="00F05BBB">
        <w:rPr>
          <w:rFonts w:ascii="標楷體" w:eastAsia="標楷體" w:hAnsi="標楷體" w:hint="eastAsia"/>
          <w:sz w:val="28"/>
        </w:rPr>
        <w:t>億</w:t>
      </w:r>
      <w:r w:rsidR="00A006C5">
        <w:rPr>
          <w:rFonts w:ascii="標楷體" w:eastAsia="標楷體" w:hAnsi="標楷體" w:hint="eastAsia"/>
          <w:sz w:val="28"/>
        </w:rPr>
        <w:t>餘</w:t>
      </w:r>
      <w:r w:rsidR="000F2234" w:rsidRPr="00F05BBB">
        <w:rPr>
          <w:rFonts w:ascii="標楷體" w:eastAsia="標楷體" w:hAnsi="標楷體" w:hint="eastAsia"/>
          <w:sz w:val="28"/>
        </w:rPr>
        <w:t>元</w:t>
      </w:r>
      <w:r w:rsidRPr="00F05BBB">
        <w:rPr>
          <w:rFonts w:ascii="標楷體" w:eastAsia="標楷體" w:hAnsi="標楷體" w:hint="eastAsia"/>
          <w:sz w:val="28"/>
        </w:rPr>
        <w:t>之</w:t>
      </w:r>
      <w:r w:rsidR="002F55D3" w:rsidRPr="00F05BBB">
        <w:rPr>
          <w:rFonts w:ascii="標楷體" w:eastAsia="標楷體" w:hAnsi="標楷體" w:hint="eastAsia"/>
          <w:sz w:val="28"/>
        </w:rPr>
        <w:t>9</w:t>
      </w:r>
      <w:r w:rsidR="001808B2">
        <w:rPr>
          <w:rFonts w:ascii="標楷體" w:eastAsia="標楷體" w:hAnsi="標楷體" w:hint="eastAsia"/>
          <w:sz w:val="28"/>
        </w:rPr>
        <w:t>1.8</w:t>
      </w:r>
      <w:r w:rsidRPr="00F05BBB">
        <w:rPr>
          <w:rFonts w:ascii="標楷體" w:eastAsia="標楷體" w:hAnsi="標楷體" w:hint="eastAsia"/>
          <w:sz w:val="28"/>
        </w:rPr>
        <w:t>％。</w:t>
      </w:r>
    </w:p>
    <w:p w:rsidR="00FE1DAB" w:rsidRPr="00F05BBB" w:rsidRDefault="00FE1DAB" w:rsidP="00801857">
      <w:pPr>
        <w:pStyle w:val="7"/>
        <w:numPr>
          <w:ilvl w:val="0"/>
          <w:numId w:val="14"/>
        </w:numPr>
        <w:ind w:left="616" w:hanging="616"/>
        <w:rPr>
          <w:rFonts w:ascii="標楷體" w:eastAsia="標楷體" w:hAnsi="標楷體"/>
          <w:sz w:val="28"/>
        </w:rPr>
      </w:pPr>
      <w:r w:rsidRPr="00C10C0E">
        <w:rPr>
          <w:rFonts w:ascii="標楷體" w:eastAsia="標楷體" w:hAnsi="標楷體" w:hint="eastAsia"/>
          <w:sz w:val="28"/>
        </w:rPr>
        <w:t>財政部主管：</w:t>
      </w:r>
      <w:r w:rsidR="00B0788A" w:rsidRPr="00F05BBB">
        <w:rPr>
          <w:rFonts w:ascii="標楷體" w:eastAsia="標楷體" w:hAnsi="標楷體" w:hint="eastAsia"/>
          <w:sz w:val="28"/>
        </w:rPr>
        <w:t>預算數</w:t>
      </w:r>
      <w:r w:rsidR="00F9703C" w:rsidRPr="00F05BBB">
        <w:rPr>
          <w:rFonts w:ascii="標楷體" w:eastAsia="標楷體" w:hAnsi="標楷體" w:hint="eastAsia"/>
          <w:sz w:val="28"/>
        </w:rPr>
        <w:t>1</w:t>
      </w:r>
      <w:r w:rsidR="003F4CA1" w:rsidRPr="00F05BBB">
        <w:rPr>
          <w:rFonts w:ascii="標楷體" w:eastAsia="標楷體" w:hAnsi="標楷體" w:hint="eastAsia"/>
          <w:sz w:val="28"/>
        </w:rPr>
        <w:t>,</w:t>
      </w:r>
      <w:r w:rsidR="00A36982">
        <w:rPr>
          <w:rFonts w:ascii="標楷體" w:eastAsia="標楷體" w:hAnsi="標楷體" w:hint="eastAsia"/>
          <w:sz w:val="28"/>
        </w:rPr>
        <w:t>6</w:t>
      </w:r>
      <w:r w:rsidR="001808B2">
        <w:rPr>
          <w:rFonts w:ascii="標楷體" w:eastAsia="標楷體" w:hAnsi="標楷體" w:hint="eastAsia"/>
          <w:sz w:val="28"/>
        </w:rPr>
        <w:t>90</w:t>
      </w:r>
      <w:r w:rsidR="000F2234" w:rsidRPr="00F05BBB">
        <w:rPr>
          <w:rFonts w:ascii="標楷體" w:eastAsia="標楷體" w:hAnsi="標楷體" w:hint="eastAsia"/>
          <w:sz w:val="28"/>
        </w:rPr>
        <w:t>億</w:t>
      </w:r>
      <w:r w:rsidR="00A006C5">
        <w:rPr>
          <w:rFonts w:ascii="標楷體" w:eastAsia="標楷體" w:hAnsi="標楷體" w:hint="eastAsia"/>
          <w:sz w:val="28"/>
        </w:rPr>
        <w:t>餘</w:t>
      </w:r>
      <w:r w:rsidR="000F2234" w:rsidRPr="00F05BBB">
        <w:rPr>
          <w:rFonts w:ascii="標楷體" w:eastAsia="標楷體" w:hAnsi="標楷體" w:hint="eastAsia"/>
          <w:sz w:val="28"/>
        </w:rPr>
        <w:t>元</w:t>
      </w:r>
      <w:r w:rsidR="00B0788A" w:rsidRPr="00F05BBB">
        <w:rPr>
          <w:rFonts w:ascii="標楷體" w:eastAsia="標楷體" w:hAnsi="標楷體" w:hint="eastAsia"/>
          <w:sz w:val="28"/>
        </w:rPr>
        <w:t>，</w:t>
      </w:r>
      <w:r w:rsidRPr="00F05BBB">
        <w:rPr>
          <w:rFonts w:ascii="標楷體" w:eastAsia="標楷體" w:hAnsi="標楷體" w:hint="eastAsia"/>
          <w:sz w:val="28"/>
        </w:rPr>
        <w:t>執行數</w:t>
      </w:r>
      <w:r w:rsidR="00336B88">
        <w:rPr>
          <w:rFonts w:ascii="標楷體" w:eastAsia="標楷體" w:hAnsi="標楷體"/>
          <w:sz w:val="28"/>
        </w:rPr>
        <w:t>9</w:t>
      </w:r>
      <w:r w:rsidR="001808B2">
        <w:rPr>
          <w:rFonts w:ascii="標楷體" w:eastAsia="標楷體" w:hAnsi="標楷體" w:hint="eastAsia"/>
          <w:sz w:val="28"/>
        </w:rPr>
        <w:t>06</w:t>
      </w:r>
      <w:r w:rsidR="000F2234" w:rsidRPr="00F05BBB">
        <w:rPr>
          <w:rFonts w:ascii="標楷體" w:eastAsia="標楷體" w:hAnsi="標楷體" w:hint="eastAsia"/>
          <w:sz w:val="28"/>
        </w:rPr>
        <w:t>億</w:t>
      </w:r>
      <w:r w:rsidR="00A006C5">
        <w:rPr>
          <w:rFonts w:ascii="標楷體" w:eastAsia="標楷體" w:hAnsi="標楷體" w:hint="eastAsia"/>
          <w:sz w:val="28"/>
        </w:rPr>
        <w:t>餘</w:t>
      </w:r>
      <w:r w:rsidR="000F2234" w:rsidRPr="00F05BBB">
        <w:rPr>
          <w:rFonts w:ascii="標楷體" w:eastAsia="標楷體" w:hAnsi="標楷體" w:hint="eastAsia"/>
          <w:sz w:val="28"/>
        </w:rPr>
        <w:t>元</w:t>
      </w:r>
      <w:r w:rsidRPr="00F05BBB">
        <w:rPr>
          <w:rFonts w:ascii="標楷體" w:eastAsia="標楷體" w:hAnsi="標楷體" w:hint="eastAsia"/>
          <w:sz w:val="28"/>
        </w:rPr>
        <w:t>，占分配數</w:t>
      </w:r>
      <w:r w:rsidR="001808B2">
        <w:rPr>
          <w:rFonts w:ascii="標楷體" w:eastAsia="標楷體" w:hAnsi="標楷體" w:hint="eastAsia"/>
          <w:sz w:val="28"/>
        </w:rPr>
        <w:t>97</w:t>
      </w:r>
      <w:r w:rsidR="00590B30">
        <w:rPr>
          <w:rFonts w:ascii="標楷體" w:eastAsia="標楷體" w:hAnsi="標楷體" w:hint="eastAsia"/>
          <w:sz w:val="28"/>
        </w:rPr>
        <w:t>5</w:t>
      </w:r>
      <w:r w:rsidR="0065104D">
        <w:rPr>
          <w:rFonts w:ascii="標楷體" w:eastAsia="標楷體" w:hAnsi="標楷體" w:hint="eastAsia"/>
          <w:sz w:val="28"/>
        </w:rPr>
        <w:t>億</w:t>
      </w:r>
      <w:r w:rsidR="00A006C5">
        <w:rPr>
          <w:rFonts w:ascii="標楷體" w:eastAsia="標楷體" w:hAnsi="標楷體" w:hint="eastAsia"/>
          <w:sz w:val="28"/>
        </w:rPr>
        <w:t>餘</w:t>
      </w:r>
      <w:r w:rsidR="000F2234" w:rsidRPr="00F05BBB">
        <w:rPr>
          <w:rFonts w:ascii="標楷體" w:eastAsia="標楷體" w:hAnsi="標楷體" w:hint="eastAsia"/>
          <w:sz w:val="28"/>
        </w:rPr>
        <w:t>元</w:t>
      </w:r>
      <w:r w:rsidRPr="00F05BBB">
        <w:rPr>
          <w:rFonts w:ascii="標楷體" w:eastAsia="標楷體" w:hAnsi="標楷體" w:hint="eastAsia"/>
          <w:sz w:val="28"/>
        </w:rPr>
        <w:t>之</w:t>
      </w:r>
      <w:r w:rsidR="001808B2">
        <w:rPr>
          <w:rFonts w:ascii="標楷體" w:eastAsia="標楷體" w:hAnsi="標楷體" w:hint="eastAsia"/>
          <w:sz w:val="28"/>
        </w:rPr>
        <w:t>92.9</w:t>
      </w:r>
      <w:r w:rsidRPr="00F05BBB">
        <w:rPr>
          <w:rFonts w:ascii="標楷體" w:eastAsia="標楷體" w:hAnsi="標楷體" w:hint="eastAsia"/>
          <w:sz w:val="28"/>
        </w:rPr>
        <w:t>％。</w:t>
      </w:r>
    </w:p>
    <w:p w:rsidR="00FE1DAB" w:rsidRPr="00F05BBB" w:rsidRDefault="00FE1DAB" w:rsidP="00801857">
      <w:pPr>
        <w:pStyle w:val="7"/>
        <w:numPr>
          <w:ilvl w:val="0"/>
          <w:numId w:val="14"/>
        </w:numPr>
        <w:ind w:left="882" w:hanging="882"/>
        <w:rPr>
          <w:rFonts w:ascii="標楷體" w:eastAsia="標楷體" w:hAnsi="標楷體"/>
          <w:sz w:val="28"/>
        </w:rPr>
      </w:pPr>
      <w:r w:rsidRPr="00F05BBB">
        <w:rPr>
          <w:rFonts w:ascii="標楷體" w:eastAsia="標楷體" w:hAnsi="標楷體" w:hint="eastAsia"/>
          <w:sz w:val="28"/>
        </w:rPr>
        <w:lastRenderedPageBreak/>
        <w:t>教育部主管：</w:t>
      </w:r>
      <w:r w:rsidR="00B0788A" w:rsidRPr="00F05BBB">
        <w:rPr>
          <w:rFonts w:ascii="標楷體" w:eastAsia="標楷體" w:hAnsi="標楷體" w:hint="eastAsia"/>
          <w:sz w:val="28"/>
        </w:rPr>
        <w:t>預算數</w:t>
      </w:r>
      <w:r w:rsidR="00934132" w:rsidRPr="00F05BBB">
        <w:rPr>
          <w:rFonts w:ascii="標楷體" w:eastAsia="標楷體" w:hAnsi="標楷體" w:hint="eastAsia"/>
          <w:sz w:val="28"/>
        </w:rPr>
        <w:t>2</w:t>
      </w:r>
      <w:r w:rsidR="003F4CA1" w:rsidRPr="00F05BBB">
        <w:rPr>
          <w:rFonts w:ascii="標楷體" w:eastAsia="標楷體" w:hAnsi="標楷體" w:hint="eastAsia"/>
          <w:sz w:val="28"/>
        </w:rPr>
        <w:t>,</w:t>
      </w:r>
      <w:r w:rsidR="00A36982">
        <w:rPr>
          <w:rFonts w:ascii="標楷體" w:eastAsia="標楷體" w:hAnsi="標楷體" w:hint="eastAsia"/>
          <w:sz w:val="28"/>
        </w:rPr>
        <w:t>56</w:t>
      </w:r>
      <w:r w:rsidR="00590B30">
        <w:rPr>
          <w:rFonts w:ascii="標楷體" w:eastAsia="標楷體" w:hAnsi="標楷體" w:hint="eastAsia"/>
          <w:sz w:val="28"/>
        </w:rPr>
        <w:t>5</w:t>
      </w:r>
      <w:r w:rsidR="000F2234" w:rsidRPr="00F05BBB">
        <w:rPr>
          <w:rFonts w:ascii="標楷體" w:eastAsia="標楷體" w:hAnsi="標楷體" w:hint="eastAsia"/>
          <w:sz w:val="28"/>
        </w:rPr>
        <w:t>億</w:t>
      </w:r>
      <w:r w:rsidR="002D02B3">
        <w:rPr>
          <w:rFonts w:ascii="標楷體" w:eastAsia="標楷體" w:hAnsi="標楷體" w:hint="eastAsia"/>
          <w:sz w:val="28"/>
        </w:rPr>
        <w:t>餘</w:t>
      </w:r>
      <w:r w:rsidR="000F2234" w:rsidRPr="00F05BBB">
        <w:rPr>
          <w:rFonts w:ascii="標楷體" w:eastAsia="標楷體" w:hAnsi="標楷體" w:hint="eastAsia"/>
          <w:sz w:val="28"/>
        </w:rPr>
        <w:t>元</w:t>
      </w:r>
      <w:r w:rsidR="00B0788A" w:rsidRPr="00F05BBB">
        <w:rPr>
          <w:rFonts w:ascii="標楷體" w:eastAsia="標楷體" w:hAnsi="標楷體" w:hint="eastAsia"/>
          <w:sz w:val="28"/>
        </w:rPr>
        <w:t>，</w:t>
      </w:r>
      <w:r w:rsidRPr="00F05BBB">
        <w:rPr>
          <w:rFonts w:ascii="標楷體" w:eastAsia="標楷體" w:hAnsi="標楷體" w:hint="eastAsia"/>
          <w:sz w:val="28"/>
        </w:rPr>
        <w:t>執行數</w:t>
      </w:r>
      <w:r w:rsidR="00F9703C" w:rsidRPr="00F05BBB">
        <w:rPr>
          <w:rFonts w:ascii="標楷體" w:eastAsia="標楷體" w:hAnsi="標楷體" w:hint="eastAsia"/>
          <w:sz w:val="28"/>
        </w:rPr>
        <w:t>1</w:t>
      </w:r>
      <w:r w:rsidR="003F4CA1" w:rsidRPr="00F05BBB">
        <w:rPr>
          <w:rFonts w:ascii="標楷體" w:eastAsia="標楷體" w:hAnsi="標楷體" w:hint="eastAsia"/>
          <w:sz w:val="28"/>
        </w:rPr>
        <w:t>,</w:t>
      </w:r>
      <w:r w:rsidR="00336B88">
        <w:rPr>
          <w:rFonts w:ascii="標楷體" w:eastAsia="標楷體" w:hAnsi="標楷體"/>
          <w:sz w:val="28"/>
        </w:rPr>
        <w:t>1</w:t>
      </w:r>
      <w:r w:rsidR="001808B2">
        <w:rPr>
          <w:rFonts w:ascii="標楷體" w:eastAsia="標楷體" w:hAnsi="標楷體" w:hint="eastAsia"/>
          <w:sz w:val="28"/>
        </w:rPr>
        <w:t>8</w:t>
      </w:r>
      <w:r w:rsidR="00590B30">
        <w:rPr>
          <w:rFonts w:ascii="標楷體" w:eastAsia="標楷體" w:hAnsi="標楷體" w:hint="eastAsia"/>
          <w:sz w:val="28"/>
        </w:rPr>
        <w:t>3</w:t>
      </w:r>
      <w:r w:rsidR="000F2234" w:rsidRPr="00F05BBB">
        <w:rPr>
          <w:rFonts w:ascii="標楷體" w:eastAsia="標楷體" w:hAnsi="標楷體" w:hint="eastAsia"/>
          <w:sz w:val="28"/>
        </w:rPr>
        <w:t>億</w:t>
      </w:r>
      <w:r w:rsidR="002D02B3">
        <w:rPr>
          <w:rFonts w:ascii="標楷體" w:eastAsia="標楷體" w:hAnsi="標楷體" w:hint="eastAsia"/>
          <w:sz w:val="28"/>
        </w:rPr>
        <w:t>餘</w:t>
      </w:r>
      <w:r w:rsidR="000F2234" w:rsidRPr="00F05BBB">
        <w:rPr>
          <w:rFonts w:ascii="標楷體" w:eastAsia="標楷體" w:hAnsi="標楷體" w:hint="eastAsia"/>
          <w:sz w:val="28"/>
        </w:rPr>
        <w:t>元</w:t>
      </w:r>
      <w:r w:rsidRPr="00F05BBB">
        <w:rPr>
          <w:rFonts w:ascii="標楷體" w:eastAsia="標楷體" w:hAnsi="標楷體" w:hint="eastAsia"/>
          <w:sz w:val="28"/>
        </w:rPr>
        <w:t>，占分配數</w:t>
      </w:r>
      <w:r w:rsidR="00B63576" w:rsidRPr="00F05BBB">
        <w:rPr>
          <w:rFonts w:ascii="標楷體" w:eastAsia="標楷體" w:hAnsi="標楷體" w:hint="eastAsia"/>
          <w:sz w:val="28"/>
        </w:rPr>
        <w:t>1</w:t>
      </w:r>
      <w:r w:rsidR="003F4CA1" w:rsidRPr="00F05BBB">
        <w:rPr>
          <w:rFonts w:ascii="標楷體" w:eastAsia="標楷體" w:hAnsi="標楷體" w:hint="eastAsia"/>
          <w:sz w:val="28"/>
        </w:rPr>
        <w:t>,</w:t>
      </w:r>
      <w:r w:rsidR="001808B2">
        <w:rPr>
          <w:rFonts w:ascii="標楷體" w:eastAsia="標楷體" w:hAnsi="標楷體" w:hint="eastAsia"/>
          <w:sz w:val="28"/>
        </w:rPr>
        <w:t>425</w:t>
      </w:r>
      <w:r w:rsidR="000F2234" w:rsidRPr="00F05BBB">
        <w:rPr>
          <w:rFonts w:ascii="標楷體" w:eastAsia="標楷體" w:hAnsi="標楷體" w:hint="eastAsia"/>
          <w:sz w:val="28"/>
        </w:rPr>
        <w:t>億</w:t>
      </w:r>
      <w:r w:rsidR="002D02B3">
        <w:rPr>
          <w:rFonts w:ascii="標楷體" w:eastAsia="標楷體" w:hAnsi="標楷體" w:hint="eastAsia"/>
          <w:sz w:val="28"/>
        </w:rPr>
        <w:t>餘</w:t>
      </w:r>
      <w:r w:rsidR="000F2234" w:rsidRPr="00F05BBB">
        <w:rPr>
          <w:rFonts w:ascii="標楷體" w:eastAsia="標楷體" w:hAnsi="標楷體" w:hint="eastAsia"/>
          <w:sz w:val="28"/>
        </w:rPr>
        <w:t>元</w:t>
      </w:r>
      <w:r w:rsidRPr="00F05BBB">
        <w:rPr>
          <w:rFonts w:ascii="標楷體" w:eastAsia="標楷體" w:hAnsi="標楷體" w:hint="eastAsia"/>
          <w:sz w:val="28"/>
        </w:rPr>
        <w:t>之</w:t>
      </w:r>
      <w:r w:rsidR="008B667E">
        <w:rPr>
          <w:rFonts w:ascii="標楷體" w:eastAsia="標楷體" w:hAnsi="標楷體" w:hint="eastAsia"/>
          <w:sz w:val="28"/>
        </w:rPr>
        <w:t>8</w:t>
      </w:r>
      <w:r w:rsidR="00336B88">
        <w:rPr>
          <w:rFonts w:ascii="標楷體" w:eastAsia="標楷體" w:hAnsi="標楷體"/>
          <w:sz w:val="28"/>
        </w:rPr>
        <w:t>3.</w:t>
      </w:r>
      <w:r w:rsidR="001808B2">
        <w:rPr>
          <w:rFonts w:ascii="標楷體" w:eastAsia="標楷體" w:hAnsi="標楷體" w:hint="eastAsia"/>
          <w:sz w:val="28"/>
        </w:rPr>
        <w:t>1</w:t>
      </w:r>
      <w:r w:rsidRPr="00F05BBB">
        <w:rPr>
          <w:rFonts w:ascii="標楷體" w:eastAsia="標楷體" w:hAnsi="標楷體" w:hint="eastAsia"/>
          <w:sz w:val="28"/>
        </w:rPr>
        <w:t>％。</w:t>
      </w:r>
    </w:p>
    <w:p w:rsidR="00FE1DAB" w:rsidRPr="00F05BBB" w:rsidRDefault="00FE1DAB" w:rsidP="00801857">
      <w:pPr>
        <w:pStyle w:val="7"/>
        <w:numPr>
          <w:ilvl w:val="0"/>
          <w:numId w:val="14"/>
        </w:numPr>
        <w:ind w:left="882" w:hanging="882"/>
        <w:rPr>
          <w:rFonts w:ascii="標楷體" w:eastAsia="標楷體" w:hAnsi="標楷體"/>
          <w:sz w:val="28"/>
        </w:rPr>
      </w:pPr>
      <w:r w:rsidRPr="00F05BBB">
        <w:rPr>
          <w:rFonts w:ascii="標楷體" w:eastAsia="標楷體" w:hAnsi="標楷體" w:hint="eastAsia"/>
          <w:sz w:val="28"/>
        </w:rPr>
        <w:t>法務部主管：</w:t>
      </w:r>
      <w:r w:rsidR="00B0788A" w:rsidRPr="00F05BBB">
        <w:rPr>
          <w:rFonts w:ascii="標楷體" w:eastAsia="標楷體" w:hAnsi="標楷體" w:hint="eastAsia"/>
          <w:sz w:val="28"/>
        </w:rPr>
        <w:t>預算數</w:t>
      </w:r>
      <w:r w:rsidR="00A379F5" w:rsidRPr="00F05BBB">
        <w:rPr>
          <w:rFonts w:ascii="標楷體" w:eastAsia="標楷體" w:hAnsi="標楷體" w:hint="eastAsia"/>
          <w:sz w:val="28"/>
        </w:rPr>
        <w:t>3</w:t>
      </w:r>
      <w:r w:rsidR="00A36982">
        <w:rPr>
          <w:rFonts w:ascii="標楷體" w:eastAsia="標楷體" w:hAnsi="標楷體" w:hint="eastAsia"/>
          <w:sz w:val="28"/>
        </w:rPr>
        <w:t>54</w:t>
      </w:r>
      <w:r w:rsidR="000F2234" w:rsidRPr="00F05BBB">
        <w:rPr>
          <w:rFonts w:ascii="標楷體" w:eastAsia="標楷體" w:hAnsi="標楷體" w:hint="eastAsia"/>
          <w:sz w:val="28"/>
        </w:rPr>
        <w:t>億</w:t>
      </w:r>
      <w:r w:rsidR="002D02B3">
        <w:rPr>
          <w:rFonts w:ascii="標楷體" w:eastAsia="標楷體" w:hAnsi="標楷體" w:hint="eastAsia"/>
          <w:sz w:val="28"/>
        </w:rPr>
        <w:t>餘</w:t>
      </w:r>
      <w:r w:rsidR="000F2234" w:rsidRPr="00F05BBB">
        <w:rPr>
          <w:rFonts w:ascii="標楷體" w:eastAsia="標楷體" w:hAnsi="標楷體" w:hint="eastAsia"/>
          <w:sz w:val="28"/>
        </w:rPr>
        <w:t>元</w:t>
      </w:r>
      <w:r w:rsidR="00B0788A" w:rsidRPr="00F05BBB">
        <w:rPr>
          <w:rFonts w:ascii="標楷體" w:eastAsia="標楷體" w:hAnsi="標楷體" w:hint="eastAsia"/>
          <w:sz w:val="28"/>
        </w:rPr>
        <w:t>，</w:t>
      </w:r>
      <w:r w:rsidRPr="00F05BBB">
        <w:rPr>
          <w:rFonts w:ascii="標楷體" w:eastAsia="標楷體" w:hAnsi="標楷體" w:hint="eastAsia"/>
          <w:sz w:val="28"/>
        </w:rPr>
        <w:t>執行數</w:t>
      </w:r>
      <w:r w:rsidR="00C749F8" w:rsidRPr="00F05BBB">
        <w:rPr>
          <w:rFonts w:ascii="標楷體" w:eastAsia="標楷體" w:hAnsi="標楷體" w:hint="eastAsia"/>
          <w:sz w:val="28"/>
        </w:rPr>
        <w:t>1</w:t>
      </w:r>
      <w:r w:rsidR="001808B2">
        <w:rPr>
          <w:rFonts w:ascii="標楷體" w:eastAsia="標楷體" w:hAnsi="標楷體" w:hint="eastAsia"/>
          <w:sz w:val="28"/>
        </w:rPr>
        <w:t>81</w:t>
      </w:r>
      <w:r w:rsidR="000F2234" w:rsidRPr="00F05BBB">
        <w:rPr>
          <w:rFonts w:ascii="標楷體" w:eastAsia="標楷體" w:hAnsi="標楷體" w:hint="eastAsia"/>
          <w:sz w:val="28"/>
        </w:rPr>
        <w:t>億</w:t>
      </w:r>
      <w:r w:rsidR="002D02B3">
        <w:rPr>
          <w:rFonts w:ascii="標楷體" w:eastAsia="標楷體" w:hAnsi="標楷體" w:hint="eastAsia"/>
          <w:sz w:val="28"/>
        </w:rPr>
        <w:t>餘</w:t>
      </w:r>
      <w:r w:rsidR="000F2234" w:rsidRPr="00F05BBB">
        <w:rPr>
          <w:rFonts w:ascii="標楷體" w:eastAsia="標楷體" w:hAnsi="標楷體" w:hint="eastAsia"/>
          <w:sz w:val="28"/>
        </w:rPr>
        <w:t>元</w:t>
      </w:r>
      <w:r w:rsidRPr="00F05BBB">
        <w:rPr>
          <w:rFonts w:ascii="標楷體" w:eastAsia="標楷體" w:hAnsi="標楷體" w:hint="eastAsia"/>
          <w:sz w:val="28"/>
        </w:rPr>
        <w:t>，占分配數</w:t>
      </w:r>
      <w:r w:rsidR="00A379F5" w:rsidRPr="00F05BBB">
        <w:rPr>
          <w:rFonts w:ascii="標楷體" w:eastAsia="標楷體" w:hAnsi="標楷體" w:hint="eastAsia"/>
          <w:sz w:val="28"/>
        </w:rPr>
        <w:t>1</w:t>
      </w:r>
      <w:r w:rsidR="001808B2">
        <w:rPr>
          <w:rFonts w:ascii="標楷體" w:eastAsia="標楷體" w:hAnsi="標楷體" w:hint="eastAsia"/>
          <w:sz w:val="28"/>
        </w:rPr>
        <w:t>9</w:t>
      </w:r>
      <w:r w:rsidR="00590B30">
        <w:rPr>
          <w:rFonts w:ascii="標楷體" w:eastAsia="標楷體" w:hAnsi="標楷體" w:hint="eastAsia"/>
          <w:sz w:val="28"/>
        </w:rPr>
        <w:t>7</w:t>
      </w:r>
      <w:r w:rsidR="000F2234" w:rsidRPr="00F05BBB">
        <w:rPr>
          <w:rFonts w:ascii="標楷體" w:eastAsia="標楷體" w:hAnsi="標楷體" w:hint="eastAsia"/>
          <w:sz w:val="28"/>
        </w:rPr>
        <w:t>億</w:t>
      </w:r>
      <w:r w:rsidR="002D02B3">
        <w:rPr>
          <w:rFonts w:ascii="標楷體" w:eastAsia="標楷體" w:hAnsi="標楷體" w:hint="eastAsia"/>
          <w:sz w:val="28"/>
        </w:rPr>
        <w:t>餘</w:t>
      </w:r>
      <w:r w:rsidR="000F2234" w:rsidRPr="00F05BBB">
        <w:rPr>
          <w:rFonts w:ascii="標楷體" w:eastAsia="標楷體" w:hAnsi="標楷體" w:hint="eastAsia"/>
          <w:sz w:val="28"/>
        </w:rPr>
        <w:t>元</w:t>
      </w:r>
      <w:r w:rsidRPr="00F05BBB">
        <w:rPr>
          <w:rFonts w:ascii="標楷體" w:eastAsia="標楷體" w:hAnsi="標楷體" w:hint="eastAsia"/>
          <w:sz w:val="28"/>
        </w:rPr>
        <w:t>之</w:t>
      </w:r>
      <w:r w:rsidR="00336B88">
        <w:rPr>
          <w:rFonts w:ascii="標楷體" w:eastAsia="標楷體" w:hAnsi="標楷體" w:hint="eastAsia"/>
          <w:sz w:val="28"/>
        </w:rPr>
        <w:t>9</w:t>
      </w:r>
      <w:r w:rsidR="001808B2">
        <w:rPr>
          <w:rFonts w:ascii="標楷體" w:eastAsia="標楷體" w:hAnsi="標楷體" w:hint="eastAsia"/>
          <w:sz w:val="28"/>
        </w:rPr>
        <w:t>1.5</w:t>
      </w:r>
      <w:r w:rsidRPr="00F05BBB">
        <w:rPr>
          <w:rFonts w:ascii="標楷體" w:eastAsia="標楷體" w:hAnsi="標楷體" w:hint="eastAsia"/>
          <w:sz w:val="28"/>
        </w:rPr>
        <w:t>％。</w:t>
      </w:r>
    </w:p>
    <w:p w:rsidR="00FE1DAB" w:rsidRPr="00F05BBB" w:rsidRDefault="00FE1DAB" w:rsidP="00801857">
      <w:pPr>
        <w:pStyle w:val="7"/>
        <w:numPr>
          <w:ilvl w:val="0"/>
          <w:numId w:val="14"/>
        </w:numPr>
        <w:ind w:left="882" w:hanging="882"/>
        <w:rPr>
          <w:rFonts w:ascii="標楷體" w:eastAsia="標楷體" w:hAnsi="標楷體"/>
          <w:sz w:val="28"/>
        </w:rPr>
      </w:pPr>
      <w:r w:rsidRPr="00F05BBB">
        <w:rPr>
          <w:rFonts w:ascii="標楷體" w:eastAsia="標楷體" w:hAnsi="標楷體" w:hint="eastAsia"/>
          <w:sz w:val="28"/>
        </w:rPr>
        <w:t>經濟部主管：</w:t>
      </w:r>
      <w:r w:rsidR="00B0788A" w:rsidRPr="00F05BBB">
        <w:rPr>
          <w:rFonts w:ascii="標楷體" w:eastAsia="標楷體" w:hAnsi="標楷體" w:hint="eastAsia"/>
          <w:sz w:val="28"/>
        </w:rPr>
        <w:t>預算數</w:t>
      </w:r>
      <w:r w:rsidR="00C749F8" w:rsidRPr="00F05BBB">
        <w:rPr>
          <w:rFonts w:ascii="標楷體" w:eastAsia="標楷體" w:hAnsi="標楷體" w:hint="eastAsia"/>
          <w:sz w:val="28"/>
        </w:rPr>
        <w:t>5</w:t>
      </w:r>
      <w:r w:rsidR="00A36982">
        <w:rPr>
          <w:rFonts w:ascii="標楷體" w:eastAsia="標楷體" w:hAnsi="標楷體" w:hint="eastAsia"/>
          <w:sz w:val="28"/>
        </w:rPr>
        <w:t>35</w:t>
      </w:r>
      <w:r w:rsidR="000F2234" w:rsidRPr="00F05BBB">
        <w:rPr>
          <w:rFonts w:ascii="標楷體" w:eastAsia="標楷體" w:hAnsi="標楷體" w:hint="eastAsia"/>
          <w:sz w:val="28"/>
        </w:rPr>
        <w:t>億</w:t>
      </w:r>
      <w:r w:rsidR="00CB6027">
        <w:rPr>
          <w:rFonts w:ascii="標楷體" w:eastAsia="標楷體" w:hAnsi="標楷體" w:hint="eastAsia"/>
          <w:sz w:val="28"/>
        </w:rPr>
        <w:t>餘</w:t>
      </w:r>
      <w:r w:rsidR="000F2234" w:rsidRPr="00F05BBB">
        <w:rPr>
          <w:rFonts w:ascii="標楷體" w:eastAsia="標楷體" w:hAnsi="標楷體" w:hint="eastAsia"/>
          <w:sz w:val="28"/>
        </w:rPr>
        <w:t>元</w:t>
      </w:r>
      <w:r w:rsidR="00B0788A" w:rsidRPr="00F05BBB">
        <w:rPr>
          <w:rFonts w:ascii="標楷體" w:eastAsia="標楷體" w:hAnsi="標楷體" w:hint="eastAsia"/>
          <w:sz w:val="28"/>
        </w:rPr>
        <w:t>，</w:t>
      </w:r>
      <w:r w:rsidRPr="00F05BBB">
        <w:rPr>
          <w:rFonts w:ascii="標楷體" w:eastAsia="標楷體" w:hAnsi="標楷體" w:hint="eastAsia"/>
          <w:sz w:val="28"/>
        </w:rPr>
        <w:t>執行數</w:t>
      </w:r>
      <w:r w:rsidR="003F4CA1" w:rsidRPr="00F05BBB">
        <w:rPr>
          <w:rFonts w:ascii="標楷體" w:eastAsia="標楷體" w:hAnsi="標楷體" w:hint="eastAsia"/>
          <w:sz w:val="28"/>
        </w:rPr>
        <w:t>2</w:t>
      </w:r>
      <w:r w:rsidR="001808B2">
        <w:rPr>
          <w:rFonts w:ascii="標楷體" w:eastAsia="標楷體" w:hAnsi="標楷體" w:hint="eastAsia"/>
          <w:sz w:val="28"/>
        </w:rPr>
        <w:t>30</w:t>
      </w:r>
      <w:r w:rsidR="000F2234" w:rsidRPr="00F05BBB">
        <w:rPr>
          <w:rFonts w:ascii="標楷體" w:eastAsia="標楷體" w:hAnsi="標楷體" w:hint="eastAsia"/>
          <w:sz w:val="28"/>
        </w:rPr>
        <w:t>億</w:t>
      </w:r>
      <w:r w:rsidR="00CB6027">
        <w:rPr>
          <w:rFonts w:ascii="標楷體" w:eastAsia="標楷體" w:hAnsi="標楷體" w:hint="eastAsia"/>
          <w:sz w:val="28"/>
        </w:rPr>
        <w:t>餘</w:t>
      </w:r>
      <w:r w:rsidR="000F2234" w:rsidRPr="00F05BBB">
        <w:rPr>
          <w:rFonts w:ascii="標楷體" w:eastAsia="標楷體" w:hAnsi="標楷體" w:hint="eastAsia"/>
          <w:sz w:val="28"/>
        </w:rPr>
        <w:t>元</w:t>
      </w:r>
      <w:r w:rsidRPr="00F05BBB">
        <w:rPr>
          <w:rFonts w:ascii="標楷體" w:eastAsia="標楷體" w:hAnsi="標楷體" w:hint="eastAsia"/>
          <w:sz w:val="28"/>
        </w:rPr>
        <w:t>，占分配數</w:t>
      </w:r>
      <w:r w:rsidR="00C749F8" w:rsidRPr="00F05BBB">
        <w:rPr>
          <w:rFonts w:ascii="標楷體" w:eastAsia="標楷體" w:hAnsi="標楷體" w:hint="eastAsia"/>
          <w:sz w:val="28"/>
        </w:rPr>
        <w:t>2</w:t>
      </w:r>
      <w:r w:rsidR="001808B2">
        <w:rPr>
          <w:rFonts w:ascii="標楷體" w:eastAsia="標楷體" w:hAnsi="標楷體" w:hint="eastAsia"/>
          <w:sz w:val="28"/>
        </w:rPr>
        <w:t>50</w:t>
      </w:r>
      <w:r w:rsidR="000F2234" w:rsidRPr="00F05BBB">
        <w:rPr>
          <w:rFonts w:ascii="標楷體" w:eastAsia="標楷體" w:hAnsi="標楷體" w:hint="eastAsia"/>
          <w:sz w:val="28"/>
        </w:rPr>
        <w:t>億</w:t>
      </w:r>
      <w:r w:rsidR="00CB6027">
        <w:rPr>
          <w:rFonts w:ascii="標楷體" w:eastAsia="標楷體" w:hAnsi="標楷體" w:hint="eastAsia"/>
          <w:sz w:val="28"/>
        </w:rPr>
        <w:t>餘</w:t>
      </w:r>
      <w:r w:rsidR="000F2234" w:rsidRPr="00F05BBB">
        <w:rPr>
          <w:rFonts w:ascii="標楷體" w:eastAsia="標楷體" w:hAnsi="標楷體" w:hint="eastAsia"/>
          <w:sz w:val="28"/>
        </w:rPr>
        <w:t>元</w:t>
      </w:r>
      <w:r w:rsidRPr="00F05BBB">
        <w:rPr>
          <w:rFonts w:ascii="標楷體" w:eastAsia="標楷體" w:hAnsi="標楷體" w:hint="eastAsia"/>
          <w:sz w:val="28"/>
        </w:rPr>
        <w:t>之</w:t>
      </w:r>
      <w:r w:rsidR="0061048C" w:rsidRPr="00F05BBB">
        <w:rPr>
          <w:rFonts w:ascii="標楷體" w:eastAsia="標楷體" w:hAnsi="標楷體" w:hint="eastAsia"/>
          <w:sz w:val="28"/>
        </w:rPr>
        <w:t>9</w:t>
      </w:r>
      <w:r w:rsidR="001808B2">
        <w:rPr>
          <w:rFonts w:ascii="標楷體" w:eastAsia="標楷體" w:hAnsi="標楷體"/>
          <w:sz w:val="28"/>
        </w:rPr>
        <w:t>2</w:t>
      </w:r>
      <w:r w:rsidRPr="00F05BBB">
        <w:rPr>
          <w:rFonts w:ascii="標楷體" w:eastAsia="標楷體" w:hAnsi="標楷體" w:hint="eastAsia"/>
          <w:sz w:val="28"/>
        </w:rPr>
        <w:t>％。</w:t>
      </w:r>
    </w:p>
    <w:p w:rsidR="00197D89" w:rsidRPr="00F05BBB" w:rsidRDefault="00FE1DAB" w:rsidP="00801857">
      <w:pPr>
        <w:pStyle w:val="7"/>
        <w:numPr>
          <w:ilvl w:val="0"/>
          <w:numId w:val="14"/>
        </w:numPr>
        <w:ind w:left="882" w:hanging="882"/>
        <w:rPr>
          <w:rFonts w:ascii="標楷體" w:eastAsia="標楷體" w:hAnsi="標楷體"/>
          <w:sz w:val="28"/>
        </w:rPr>
      </w:pPr>
      <w:r w:rsidRPr="00C10C0E">
        <w:rPr>
          <w:rFonts w:ascii="標楷體" w:eastAsia="標楷體" w:hAnsi="標楷體" w:hint="eastAsia"/>
          <w:sz w:val="28"/>
        </w:rPr>
        <w:t>交通部主管：</w:t>
      </w:r>
      <w:r w:rsidR="00B0788A" w:rsidRPr="00F05BBB">
        <w:rPr>
          <w:rFonts w:ascii="標楷體" w:eastAsia="標楷體" w:hAnsi="標楷體" w:hint="eastAsia"/>
          <w:sz w:val="28"/>
        </w:rPr>
        <w:t>預算數</w:t>
      </w:r>
      <w:r w:rsidR="00A36982">
        <w:rPr>
          <w:rFonts w:ascii="標楷體" w:eastAsia="標楷體" w:hAnsi="標楷體"/>
          <w:sz w:val="28"/>
        </w:rPr>
        <w:t>7</w:t>
      </w:r>
      <w:r w:rsidR="00A36982">
        <w:rPr>
          <w:rFonts w:ascii="標楷體" w:eastAsia="標楷體" w:hAnsi="標楷體" w:hint="eastAsia"/>
          <w:sz w:val="28"/>
        </w:rPr>
        <w:t>40</w:t>
      </w:r>
      <w:r w:rsidR="000F2234" w:rsidRPr="00F05BBB">
        <w:rPr>
          <w:rFonts w:ascii="標楷體" w:eastAsia="標楷體" w:hAnsi="標楷體" w:hint="eastAsia"/>
          <w:sz w:val="28"/>
        </w:rPr>
        <w:t>億</w:t>
      </w:r>
      <w:r w:rsidR="00CB6027">
        <w:rPr>
          <w:rFonts w:ascii="標楷體" w:eastAsia="標楷體" w:hAnsi="標楷體" w:hint="eastAsia"/>
          <w:sz w:val="28"/>
        </w:rPr>
        <w:t>餘</w:t>
      </w:r>
      <w:r w:rsidR="000F2234" w:rsidRPr="00F05BBB">
        <w:rPr>
          <w:rFonts w:ascii="標楷體" w:eastAsia="標楷體" w:hAnsi="標楷體" w:hint="eastAsia"/>
          <w:sz w:val="28"/>
        </w:rPr>
        <w:t>元</w:t>
      </w:r>
      <w:r w:rsidR="00B0788A" w:rsidRPr="00F05BBB">
        <w:rPr>
          <w:rFonts w:ascii="標楷體" w:eastAsia="標楷體" w:hAnsi="標楷體" w:hint="eastAsia"/>
          <w:sz w:val="28"/>
        </w:rPr>
        <w:t>，</w:t>
      </w:r>
      <w:r w:rsidRPr="00F05BBB">
        <w:rPr>
          <w:rFonts w:ascii="標楷體" w:eastAsia="標楷體" w:hAnsi="標楷體" w:hint="eastAsia"/>
          <w:sz w:val="28"/>
        </w:rPr>
        <w:t>執行數</w:t>
      </w:r>
      <w:r w:rsidR="00336B88">
        <w:rPr>
          <w:rFonts w:ascii="標楷體" w:eastAsia="標楷體" w:hAnsi="標楷體" w:hint="eastAsia"/>
          <w:sz w:val="28"/>
        </w:rPr>
        <w:t>2</w:t>
      </w:r>
      <w:r w:rsidR="002E234E">
        <w:rPr>
          <w:rFonts w:ascii="標楷體" w:eastAsia="標楷體" w:hAnsi="標楷體" w:hint="eastAsia"/>
          <w:sz w:val="28"/>
        </w:rPr>
        <w:t>79</w:t>
      </w:r>
      <w:r w:rsidR="000F2234" w:rsidRPr="00F05BBB">
        <w:rPr>
          <w:rFonts w:ascii="標楷體" w:eastAsia="標楷體" w:hAnsi="標楷體" w:hint="eastAsia"/>
          <w:sz w:val="28"/>
        </w:rPr>
        <w:t>億</w:t>
      </w:r>
      <w:r w:rsidR="00CB6027">
        <w:rPr>
          <w:rFonts w:ascii="標楷體" w:eastAsia="標楷體" w:hAnsi="標楷體" w:hint="eastAsia"/>
          <w:sz w:val="28"/>
        </w:rPr>
        <w:t>餘</w:t>
      </w:r>
      <w:r w:rsidR="000F2234" w:rsidRPr="00F05BBB">
        <w:rPr>
          <w:rFonts w:ascii="標楷體" w:eastAsia="標楷體" w:hAnsi="標楷體" w:hint="eastAsia"/>
          <w:sz w:val="28"/>
        </w:rPr>
        <w:t>元</w:t>
      </w:r>
      <w:r w:rsidRPr="00F05BBB">
        <w:rPr>
          <w:rFonts w:ascii="標楷體" w:eastAsia="標楷體" w:hAnsi="標楷體" w:hint="eastAsia"/>
          <w:sz w:val="28"/>
        </w:rPr>
        <w:t>，占分配數</w:t>
      </w:r>
      <w:r w:rsidR="00336B88">
        <w:rPr>
          <w:rFonts w:ascii="標楷體" w:eastAsia="標楷體" w:hAnsi="標楷體" w:hint="eastAsia"/>
          <w:sz w:val="28"/>
        </w:rPr>
        <w:t>3</w:t>
      </w:r>
      <w:r w:rsidR="001808B2">
        <w:rPr>
          <w:rFonts w:ascii="標楷體" w:eastAsia="標楷體" w:hAnsi="標楷體" w:hint="eastAsia"/>
          <w:sz w:val="28"/>
        </w:rPr>
        <w:t>19</w:t>
      </w:r>
      <w:r w:rsidR="000F2234" w:rsidRPr="00F05BBB">
        <w:rPr>
          <w:rFonts w:ascii="標楷體" w:eastAsia="標楷體" w:hAnsi="標楷體" w:hint="eastAsia"/>
          <w:sz w:val="28"/>
        </w:rPr>
        <w:t>億</w:t>
      </w:r>
      <w:r w:rsidR="00CB6027">
        <w:rPr>
          <w:rFonts w:ascii="標楷體" w:eastAsia="標楷體" w:hAnsi="標楷體" w:hint="eastAsia"/>
          <w:sz w:val="28"/>
        </w:rPr>
        <w:t>餘</w:t>
      </w:r>
      <w:r w:rsidR="000F2234" w:rsidRPr="00F05BBB">
        <w:rPr>
          <w:rFonts w:ascii="標楷體" w:eastAsia="標楷體" w:hAnsi="標楷體" w:hint="eastAsia"/>
          <w:sz w:val="28"/>
        </w:rPr>
        <w:t>元</w:t>
      </w:r>
      <w:r w:rsidRPr="00F05BBB">
        <w:rPr>
          <w:rFonts w:ascii="標楷體" w:eastAsia="標楷體" w:hAnsi="標楷體" w:hint="eastAsia"/>
          <w:sz w:val="28"/>
        </w:rPr>
        <w:t>之</w:t>
      </w:r>
      <w:r w:rsidR="003F4CA1" w:rsidRPr="00F05BBB">
        <w:rPr>
          <w:rFonts w:ascii="標楷體" w:eastAsia="標楷體" w:hAnsi="標楷體" w:hint="eastAsia"/>
          <w:sz w:val="28"/>
        </w:rPr>
        <w:t>8</w:t>
      </w:r>
      <w:r w:rsidR="001808B2">
        <w:rPr>
          <w:rFonts w:ascii="標楷體" w:eastAsia="標楷體" w:hAnsi="標楷體" w:hint="eastAsia"/>
          <w:sz w:val="28"/>
        </w:rPr>
        <w:t>7.7</w:t>
      </w:r>
      <w:r w:rsidRPr="00F05BBB">
        <w:rPr>
          <w:rFonts w:ascii="標楷體" w:eastAsia="標楷體" w:hAnsi="標楷體" w:hint="eastAsia"/>
          <w:sz w:val="28"/>
        </w:rPr>
        <w:t>％</w:t>
      </w:r>
      <w:r w:rsidR="0003322A" w:rsidRPr="00F05BBB">
        <w:rPr>
          <w:rFonts w:ascii="標楷體" w:eastAsia="標楷體" w:hAnsi="標楷體" w:hint="eastAsia"/>
          <w:sz w:val="28"/>
        </w:rPr>
        <w:t>。</w:t>
      </w:r>
    </w:p>
    <w:p w:rsidR="007B057B" w:rsidRPr="00F05BBB" w:rsidRDefault="007B057B" w:rsidP="00801857">
      <w:pPr>
        <w:pStyle w:val="7"/>
        <w:numPr>
          <w:ilvl w:val="0"/>
          <w:numId w:val="14"/>
        </w:numPr>
        <w:ind w:left="882" w:hanging="882"/>
        <w:rPr>
          <w:rFonts w:ascii="標楷體" w:eastAsia="標楷體" w:hAnsi="標楷體"/>
          <w:sz w:val="28"/>
        </w:rPr>
      </w:pPr>
      <w:r w:rsidRPr="00C10C0E">
        <w:rPr>
          <w:rFonts w:ascii="標楷體" w:eastAsia="標楷體" w:hAnsi="標楷體" w:hint="eastAsia"/>
          <w:sz w:val="28"/>
        </w:rPr>
        <w:t>勞動部主管：</w:t>
      </w:r>
      <w:r w:rsidRPr="00F05BBB">
        <w:rPr>
          <w:rFonts w:ascii="標楷體" w:eastAsia="標楷體" w:hAnsi="標楷體" w:hint="eastAsia"/>
          <w:sz w:val="28"/>
        </w:rPr>
        <w:t>預算數</w:t>
      </w:r>
      <w:r w:rsidR="003F4CA1" w:rsidRPr="00F05BBB">
        <w:rPr>
          <w:rFonts w:ascii="標楷體" w:eastAsia="標楷體" w:hAnsi="標楷體" w:hint="eastAsia"/>
          <w:sz w:val="28"/>
        </w:rPr>
        <w:t>1,</w:t>
      </w:r>
      <w:r w:rsidR="00A36982">
        <w:rPr>
          <w:rFonts w:ascii="標楷體" w:eastAsia="標楷體" w:hAnsi="標楷體" w:hint="eastAsia"/>
          <w:sz w:val="28"/>
        </w:rPr>
        <w:t>5</w:t>
      </w:r>
      <w:r w:rsidR="002E234E">
        <w:rPr>
          <w:rFonts w:ascii="標楷體" w:eastAsia="標楷體" w:hAnsi="標楷體" w:hint="eastAsia"/>
          <w:sz w:val="28"/>
        </w:rPr>
        <w:t>19</w:t>
      </w:r>
      <w:r w:rsidRPr="00F05BBB">
        <w:rPr>
          <w:rFonts w:ascii="標楷體" w:eastAsia="標楷體" w:hAnsi="標楷體" w:hint="eastAsia"/>
          <w:sz w:val="28"/>
        </w:rPr>
        <w:t>億</w:t>
      </w:r>
      <w:r w:rsidR="00CB6027">
        <w:rPr>
          <w:rFonts w:ascii="標楷體" w:eastAsia="標楷體" w:hAnsi="標楷體" w:hint="eastAsia"/>
          <w:sz w:val="28"/>
        </w:rPr>
        <w:t>餘</w:t>
      </w:r>
      <w:r w:rsidRPr="00F05BBB">
        <w:rPr>
          <w:rFonts w:ascii="標楷體" w:eastAsia="標楷體" w:hAnsi="標楷體" w:hint="eastAsia"/>
          <w:sz w:val="28"/>
        </w:rPr>
        <w:t>元，執行數</w:t>
      </w:r>
      <w:r w:rsidR="001808B2">
        <w:rPr>
          <w:rFonts w:ascii="標楷體" w:eastAsia="標楷體" w:hAnsi="標楷體" w:hint="eastAsia"/>
          <w:sz w:val="28"/>
        </w:rPr>
        <w:t>1,02</w:t>
      </w:r>
      <w:r w:rsidR="002E234E">
        <w:rPr>
          <w:rFonts w:ascii="標楷體" w:eastAsia="標楷體" w:hAnsi="標楷體" w:hint="eastAsia"/>
          <w:sz w:val="28"/>
        </w:rPr>
        <w:t>7</w:t>
      </w:r>
      <w:r w:rsidRPr="00F05BBB">
        <w:rPr>
          <w:rFonts w:ascii="標楷體" w:eastAsia="標楷體" w:hAnsi="標楷體" w:hint="eastAsia"/>
          <w:sz w:val="28"/>
        </w:rPr>
        <w:t>億</w:t>
      </w:r>
      <w:r w:rsidR="00CB6027">
        <w:rPr>
          <w:rFonts w:ascii="標楷體" w:eastAsia="標楷體" w:hAnsi="標楷體" w:hint="eastAsia"/>
          <w:sz w:val="28"/>
        </w:rPr>
        <w:t>餘</w:t>
      </w:r>
      <w:r w:rsidRPr="00F05BBB">
        <w:rPr>
          <w:rFonts w:ascii="標楷體" w:eastAsia="標楷體" w:hAnsi="標楷體" w:hint="eastAsia"/>
          <w:sz w:val="28"/>
        </w:rPr>
        <w:t>元，占分配數</w:t>
      </w:r>
      <w:r w:rsidR="001808B2">
        <w:rPr>
          <w:rFonts w:ascii="標楷體" w:eastAsia="標楷體" w:hAnsi="標楷體" w:hint="eastAsia"/>
          <w:sz w:val="28"/>
        </w:rPr>
        <w:t>1,069</w:t>
      </w:r>
      <w:r w:rsidRPr="00F05BBB">
        <w:rPr>
          <w:rFonts w:ascii="標楷體" w:eastAsia="標楷體" w:hAnsi="標楷體" w:hint="eastAsia"/>
          <w:sz w:val="28"/>
        </w:rPr>
        <w:t>億</w:t>
      </w:r>
      <w:r w:rsidR="00CB6027">
        <w:rPr>
          <w:rFonts w:ascii="標楷體" w:eastAsia="標楷體" w:hAnsi="標楷體" w:hint="eastAsia"/>
          <w:sz w:val="28"/>
        </w:rPr>
        <w:t>餘</w:t>
      </w:r>
      <w:r w:rsidRPr="00F05BBB">
        <w:rPr>
          <w:rFonts w:ascii="標楷體" w:eastAsia="標楷體" w:hAnsi="標楷體" w:hint="eastAsia"/>
          <w:sz w:val="28"/>
        </w:rPr>
        <w:t>元之</w:t>
      </w:r>
      <w:r w:rsidR="003F4CA1" w:rsidRPr="00F05BBB">
        <w:rPr>
          <w:rFonts w:ascii="標楷體" w:eastAsia="標楷體" w:hAnsi="標楷體" w:hint="eastAsia"/>
          <w:sz w:val="28"/>
        </w:rPr>
        <w:t>9</w:t>
      </w:r>
      <w:r w:rsidR="00336B88">
        <w:rPr>
          <w:rFonts w:ascii="標楷體" w:eastAsia="標楷體" w:hAnsi="標楷體"/>
          <w:sz w:val="28"/>
        </w:rPr>
        <w:t>6</w:t>
      </w:r>
      <w:r w:rsidR="001808B2">
        <w:rPr>
          <w:rFonts w:ascii="標楷體" w:eastAsia="標楷體" w:hAnsi="標楷體" w:hint="eastAsia"/>
          <w:sz w:val="28"/>
        </w:rPr>
        <w:t>.1</w:t>
      </w:r>
      <w:r w:rsidRPr="00F05BBB">
        <w:rPr>
          <w:rFonts w:ascii="標楷體" w:eastAsia="標楷體" w:hAnsi="標楷體" w:hint="eastAsia"/>
          <w:sz w:val="28"/>
        </w:rPr>
        <w:t>％。</w:t>
      </w:r>
    </w:p>
    <w:p w:rsidR="00FE1DAB" w:rsidRPr="00F05BBB" w:rsidRDefault="00FE1DAB" w:rsidP="00801857">
      <w:pPr>
        <w:pStyle w:val="7"/>
        <w:numPr>
          <w:ilvl w:val="0"/>
          <w:numId w:val="14"/>
        </w:numPr>
        <w:ind w:left="882" w:hanging="882"/>
        <w:rPr>
          <w:rFonts w:ascii="標楷體" w:eastAsia="標楷體" w:hAnsi="標楷體"/>
          <w:sz w:val="28"/>
        </w:rPr>
      </w:pPr>
      <w:r w:rsidRPr="00F05BBB">
        <w:rPr>
          <w:rFonts w:ascii="標楷體" w:eastAsia="標楷體" w:hAnsi="標楷體" w:hint="eastAsia"/>
          <w:sz w:val="28"/>
        </w:rPr>
        <w:t>僑務委員會主管：</w:t>
      </w:r>
      <w:r w:rsidR="00B0788A" w:rsidRPr="00F05BBB">
        <w:rPr>
          <w:rFonts w:ascii="標楷體" w:eastAsia="標楷體" w:hAnsi="標楷體" w:hint="eastAsia"/>
          <w:sz w:val="28"/>
        </w:rPr>
        <w:t>預算數</w:t>
      </w:r>
      <w:r w:rsidR="00C749F8" w:rsidRPr="00F05BBB">
        <w:rPr>
          <w:rFonts w:ascii="標楷體" w:eastAsia="標楷體" w:hAnsi="標楷體" w:hint="eastAsia"/>
          <w:sz w:val="28"/>
        </w:rPr>
        <w:t>1</w:t>
      </w:r>
      <w:r w:rsidR="002E234E">
        <w:rPr>
          <w:rFonts w:ascii="標楷體" w:eastAsia="標楷體" w:hAnsi="標楷體" w:hint="eastAsia"/>
          <w:sz w:val="28"/>
        </w:rPr>
        <w:t>2</w:t>
      </w:r>
      <w:r w:rsidR="000F2234" w:rsidRPr="00F05BBB">
        <w:rPr>
          <w:rFonts w:ascii="標楷體" w:eastAsia="標楷體" w:hAnsi="標楷體" w:hint="eastAsia"/>
          <w:sz w:val="28"/>
        </w:rPr>
        <w:t>億</w:t>
      </w:r>
      <w:r w:rsidR="00CB6027">
        <w:rPr>
          <w:rFonts w:ascii="標楷體" w:eastAsia="標楷體" w:hAnsi="標楷體" w:hint="eastAsia"/>
          <w:sz w:val="28"/>
        </w:rPr>
        <w:t>餘</w:t>
      </w:r>
      <w:r w:rsidR="000F2234" w:rsidRPr="00F05BBB">
        <w:rPr>
          <w:rFonts w:ascii="標楷體" w:eastAsia="標楷體" w:hAnsi="標楷體" w:hint="eastAsia"/>
          <w:sz w:val="28"/>
        </w:rPr>
        <w:t>元</w:t>
      </w:r>
      <w:r w:rsidR="00B0788A" w:rsidRPr="00F05BBB">
        <w:rPr>
          <w:rFonts w:ascii="標楷體" w:eastAsia="標楷體" w:hAnsi="標楷體" w:hint="eastAsia"/>
          <w:sz w:val="28"/>
        </w:rPr>
        <w:t>，</w:t>
      </w:r>
      <w:r w:rsidRPr="00F05BBB">
        <w:rPr>
          <w:rFonts w:ascii="標楷體" w:eastAsia="標楷體" w:hAnsi="標楷體" w:hint="eastAsia"/>
          <w:sz w:val="28"/>
        </w:rPr>
        <w:t>執行數</w:t>
      </w:r>
      <w:r w:rsidR="002E234E">
        <w:rPr>
          <w:rFonts w:ascii="標楷體" w:eastAsia="標楷體" w:hAnsi="標楷體" w:hint="eastAsia"/>
          <w:sz w:val="28"/>
        </w:rPr>
        <w:t>4</w:t>
      </w:r>
      <w:r w:rsidR="000F2234" w:rsidRPr="00F05BBB">
        <w:rPr>
          <w:rFonts w:ascii="標楷體" w:eastAsia="標楷體" w:hAnsi="標楷體" w:hint="eastAsia"/>
          <w:sz w:val="28"/>
        </w:rPr>
        <w:t>億</w:t>
      </w:r>
      <w:r w:rsidR="00CB6027">
        <w:rPr>
          <w:rFonts w:ascii="標楷體" w:eastAsia="標楷體" w:hAnsi="標楷體" w:hint="eastAsia"/>
          <w:sz w:val="28"/>
        </w:rPr>
        <w:t>餘</w:t>
      </w:r>
      <w:r w:rsidR="000F2234" w:rsidRPr="00F05BBB">
        <w:rPr>
          <w:rFonts w:ascii="標楷體" w:eastAsia="標楷體" w:hAnsi="標楷體" w:hint="eastAsia"/>
          <w:sz w:val="28"/>
        </w:rPr>
        <w:t>元</w:t>
      </w:r>
      <w:r w:rsidRPr="00F05BBB">
        <w:rPr>
          <w:rFonts w:ascii="標楷體" w:eastAsia="標楷體" w:hAnsi="標楷體" w:hint="eastAsia"/>
          <w:sz w:val="28"/>
        </w:rPr>
        <w:t>，占分配數</w:t>
      </w:r>
      <w:r w:rsidR="00336B88">
        <w:rPr>
          <w:rFonts w:ascii="標楷體" w:eastAsia="標楷體" w:hAnsi="標楷體" w:hint="eastAsia"/>
          <w:sz w:val="28"/>
        </w:rPr>
        <w:t>6</w:t>
      </w:r>
      <w:r w:rsidR="000F2234" w:rsidRPr="00F05BBB">
        <w:rPr>
          <w:rFonts w:ascii="標楷體" w:eastAsia="標楷體" w:hAnsi="標楷體" w:hint="eastAsia"/>
          <w:sz w:val="28"/>
        </w:rPr>
        <w:t>億</w:t>
      </w:r>
      <w:r w:rsidR="00CB6027">
        <w:rPr>
          <w:rFonts w:ascii="標楷體" w:eastAsia="標楷體" w:hAnsi="標楷體" w:hint="eastAsia"/>
          <w:sz w:val="28"/>
        </w:rPr>
        <w:t>餘</w:t>
      </w:r>
      <w:r w:rsidR="000F2234" w:rsidRPr="00F05BBB">
        <w:rPr>
          <w:rFonts w:ascii="標楷體" w:eastAsia="標楷體" w:hAnsi="標楷體" w:hint="eastAsia"/>
          <w:sz w:val="28"/>
        </w:rPr>
        <w:t>元</w:t>
      </w:r>
      <w:r w:rsidRPr="00F05BBB">
        <w:rPr>
          <w:rFonts w:ascii="標楷體" w:eastAsia="標楷體" w:hAnsi="標楷體" w:hint="eastAsia"/>
          <w:sz w:val="28"/>
        </w:rPr>
        <w:t>之</w:t>
      </w:r>
      <w:r w:rsidR="001808B2">
        <w:rPr>
          <w:rFonts w:ascii="標楷體" w:eastAsia="標楷體" w:hAnsi="標楷體" w:hint="eastAsia"/>
          <w:sz w:val="28"/>
        </w:rPr>
        <w:t>80.9</w:t>
      </w:r>
      <w:r w:rsidRPr="00F05BBB">
        <w:rPr>
          <w:rFonts w:ascii="標楷體" w:eastAsia="標楷體" w:hAnsi="標楷體" w:hint="eastAsia"/>
          <w:sz w:val="28"/>
        </w:rPr>
        <w:t>％。</w:t>
      </w:r>
    </w:p>
    <w:p w:rsidR="00FE1DAB" w:rsidRPr="00F05BBB" w:rsidRDefault="00934132" w:rsidP="00801857">
      <w:pPr>
        <w:pStyle w:val="7"/>
        <w:numPr>
          <w:ilvl w:val="0"/>
          <w:numId w:val="14"/>
        </w:numPr>
        <w:ind w:left="882" w:hanging="882"/>
        <w:rPr>
          <w:rFonts w:ascii="標楷體" w:eastAsia="標楷體" w:hAnsi="標楷體"/>
          <w:sz w:val="28"/>
        </w:rPr>
      </w:pPr>
      <w:r w:rsidRPr="00F05BBB">
        <w:rPr>
          <w:rFonts w:ascii="標楷體" w:eastAsia="標楷體" w:hAnsi="標楷體" w:hint="eastAsia"/>
          <w:sz w:val="28"/>
        </w:rPr>
        <w:t>原子能委員會</w:t>
      </w:r>
      <w:r w:rsidR="00FE1DAB" w:rsidRPr="00F05BBB">
        <w:rPr>
          <w:rFonts w:ascii="標楷體" w:eastAsia="標楷體" w:hAnsi="標楷體" w:hint="eastAsia"/>
          <w:sz w:val="28"/>
        </w:rPr>
        <w:t>主管：</w:t>
      </w:r>
      <w:r w:rsidR="00B0788A" w:rsidRPr="00F05BBB">
        <w:rPr>
          <w:rFonts w:ascii="標楷體" w:eastAsia="標楷體" w:hAnsi="標楷體" w:hint="eastAsia"/>
          <w:sz w:val="28"/>
        </w:rPr>
        <w:t>預算數</w:t>
      </w:r>
      <w:r w:rsidRPr="00F05BBB">
        <w:rPr>
          <w:rFonts w:ascii="標楷體" w:eastAsia="標楷體" w:hAnsi="標楷體" w:hint="eastAsia"/>
          <w:sz w:val="28"/>
        </w:rPr>
        <w:t>2</w:t>
      </w:r>
      <w:r w:rsidR="00336B88">
        <w:rPr>
          <w:rFonts w:ascii="標楷體" w:eastAsia="標楷體" w:hAnsi="標楷體" w:hint="eastAsia"/>
          <w:sz w:val="28"/>
        </w:rPr>
        <w:t>5</w:t>
      </w:r>
      <w:r w:rsidR="000F2234" w:rsidRPr="00F05BBB">
        <w:rPr>
          <w:rFonts w:ascii="標楷體" w:eastAsia="標楷體" w:hAnsi="標楷體" w:hint="eastAsia"/>
          <w:sz w:val="28"/>
        </w:rPr>
        <w:t>億</w:t>
      </w:r>
      <w:r w:rsidR="00CB6027">
        <w:rPr>
          <w:rFonts w:ascii="標楷體" w:eastAsia="標楷體" w:hAnsi="標楷體" w:hint="eastAsia"/>
          <w:sz w:val="28"/>
        </w:rPr>
        <w:t>餘</w:t>
      </w:r>
      <w:r w:rsidR="000F2234" w:rsidRPr="00F05BBB">
        <w:rPr>
          <w:rFonts w:ascii="標楷體" w:eastAsia="標楷體" w:hAnsi="標楷體" w:hint="eastAsia"/>
          <w:sz w:val="28"/>
        </w:rPr>
        <w:t>元</w:t>
      </w:r>
      <w:r w:rsidR="00B0788A" w:rsidRPr="00F05BBB">
        <w:rPr>
          <w:rFonts w:ascii="標楷體" w:eastAsia="標楷體" w:hAnsi="標楷體" w:hint="eastAsia"/>
          <w:sz w:val="28"/>
        </w:rPr>
        <w:t>，</w:t>
      </w:r>
      <w:r w:rsidR="00FE1DAB" w:rsidRPr="00F05BBB">
        <w:rPr>
          <w:rFonts w:ascii="標楷體" w:eastAsia="標楷體" w:hAnsi="標楷體" w:hint="eastAsia"/>
          <w:sz w:val="28"/>
        </w:rPr>
        <w:t>執行數</w:t>
      </w:r>
      <w:r w:rsidR="009B122B" w:rsidRPr="00F05BBB">
        <w:rPr>
          <w:rFonts w:ascii="標楷體" w:eastAsia="標楷體" w:hAnsi="標楷體" w:hint="eastAsia"/>
          <w:sz w:val="28"/>
        </w:rPr>
        <w:t>1</w:t>
      </w:r>
      <w:r w:rsidR="002E234E">
        <w:rPr>
          <w:rFonts w:ascii="標楷體" w:eastAsia="標楷體" w:hAnsi="標楷體" w:hint="eastAsia"/>
          <w:sz w:val="28"/>
        </w:rPr>
        <w:t>1</w:t>
      </w:r>
      <w:r w:rsidR="000F2234" w:rsidRPr="00F05BBB">
        <w:rPr>
          <w:rFonts w:ascii="標楷體" w:eastAsia="標楷體" w:hAnsi="標楷體" w:hint="eastAsia"/>
          <w:sz w:val="28"/>
        </w:rPr>
        <w:t>億</w:t>
      </w:r>
      <w:r w:rsidR="00CB6027">
        <w:rPr>
          <w:rFonts w:ascii="標楷體" w:eastAsia="標楷體" w:hAnsi="標楷體" w:hint="eastAsia"/>
          <w:sz w:val="28"/>
        </w:rPr>
        <w:t>餘</w:t>
      </w:r>
      <w:r w:rsidR="000F2234" w:rsidRPr="00F05BBB">
        <w:rPr>
          <w:rFonts w:ascii="標楷體" w:eastAsia="標楷體" w:hAnsi="標楷體" w:hint="eastAsia"/>
          <w:sz w:val="28"/>
        </w:rPr>
        <w:t>元</w:t>
      </w:r>
      <w:r w:rsidR="00FE1DAB" w:rsidRPr="00F05BBB">
        <w:rPr>
          <w:rFonts w:ascii="標楷體" w:eastAsia="標楷體" w:hAnsi="標楷體" w:hint="eastAsia"/>
          <w:sz w:val="28"/>
        </w:rPr>
        <w:t>，占分配數</w:t>
      </w:r>
      <w:r w:rsidR="009B122B" w:rsidRPr="00F05BBB">
        <w:rPr>
          <w:rFonts w:ascii="標楷體" w:eastAsia="標楷體" w:hAnsi="標楷體" w:hint="eastAsia"/>
          <w:sz w:val="28"/>
        </w:rPr>
        <w:t>1</w:t>
      </w:r>
      <w:r w:rsidR="002E234E">
        <w:rPr>
          <w:rFonts w:ascii="標楷體" w:eastAsia="標楷體" w:hAnsi="標楷體" w:hint="eastAsia"/>
          <w:sz w:val="28"/>
        </w:rPr>
        <w:t>2</w:t>
      </w:r>
      <w:r w:rsidR="000F2234" w:rsidRPr="00F05BBB">
        <w:rPr>
          <w:rFonts w:ascii="標楷體" w:eastAsia="標楷體" w:hAnsi="標楷體" w:hint="eastAsia"/>
          <w:sz w:val="28"/>
        </w:rPr>
        <w:t>億</w:t>
      </w:r>
      <w:r w:rsidR="00CB6027">
        <w:rPr>
          <w:rFonts w:ascii="標楷體" w:eastAsia="標楷體" w:hAnsi="標楷體" w:hint="eastAsia"/>
          <w:sz w:val="28"/>
        </w:rPr>
        <w:t>餘</w:t>
      </w:r>
      <w:r w:rsidR="000F2234" w:rsidRPr="00F05BBB">
        <w:rPr>
          <w:rFonts w:ascii="標楷體" w:eastAsia="標楷體" w:hAnsi="標楷體" w:hint="eastAsia"/>
          <w:sz w:val="28"/>
        </w:rPr>
        <w:t>元</w:t>
      </w:r>
      <w:r w:rsidR="00FE1DAB" w:rsidRPr="00F05BBB">
        <w:rPr>
          <w:rFonts w:ascii="標楷體" w:eastAsia="標楷體" w:hAnsi="標楷體" w:hint="eastAsia"/>
          <w:sz w:val="28"/>
        </w:rPr>
        <w:t>之</w:t>
      </w:r>
      <w:r w:rsidR="00AD1D02" w:rsidRPr="00F05BBB">
        <w:rPr>
          <w:rFonts w:ascii="標楷體" w:eastAsia="標楷體" w:hAnsi="標楷體" w:hint="eastAsia"/>
          <w:sz w:val="28"/>
        </w:rPr>
        <w:t>9</w:t>
      </w:r>
      <w:r w:rsidR="001808B2">
        <w:rPr>
          <w:rFonts w:ascii="標楷體" w:eastAsia="標楷體" w:hAnsi="標楷體" w:hint="eastAsia"/>
          <w:sz w:val="28"/>
        </w:rPr>
        <w:t>3.2</w:t>
      </w:r>
      <w:r w:rsidR="00FE1DAB" w:rsidRPr="00F05BBB">
        <w:rPr>
          <w:rFonts w:ascii="標楷體" w:eastAsia="標楷體" w:hAnsi="標楷體" w:hint="eastAsia"/>
          <w:sz w:val="28"/>
        </w:rPr>
        <w:t>％。</w:t>
      </w:r>
    </w:p>
    <w:p w:rsidR="00FE1DAB" w:rsidRPr="00F05BBB" w:rsidRDefault="00934132" w:rsidP="00801857">
      <w:pPr>
        <w:pStyle w:val="7"/>
        <w:numPr>
          <w:ilvl w:val="0"/>
          <w:numId w:val="14"/>
        </w:numPr>
        <w:ind w:left="882" w:hanging="882"/>
        <w:rPr>
          <w:rFonts w:ascii="標楷體" w:eastAsia="標楷體" w:hAnsi="標楷體"/>
          <w:sz w:val="28"/>
        </w:rPr>
      </w:pPr>
      <w:r w:rsidRPr="00F05BBB">
        <w:rPr>
          <w:rFonts w:ascii="標楷體" w:eastAsia="標楷體" w:hAnsi="標楷體" w:hint="eastAsia"/>
          <w:sz w:val="28"/>
        </w:rPr>
        <w:t>農業委員會</w:t>
      </w:r>
      <w:r w:rsidR="00FE1DAB" w:rsidRPr="00F05BBB">
        <w:rPr>
          <w:rFonts w:ascii="標楷體" w:eastAsia="標楷體" w:hAnsi="標楷體" w:hint="eastAsia"/>
          <w:sz w:val="28"/>
        </w:rPr>
        <w:t>主管：</w:t>
      </w:r>
      <w:r w:rsidR="00B0788A" w:rsidRPr="00F05BBB">
        <w:rPr>
          <w:rFonts w:ascii="標楷體" w:eastAsia="標楷體" w:hAnsi="標楷體" w:hint="eastAsia"/>
          <w:sz w:val="28"/>
        </w:rPr>
        <w:t>預算數</w:t>
      </w:r>
      <w:r w:rsidR="007D4212" w:rsidRPr="00F05BBB">
        <w:rPr>
          <w:rFonts w:ascii="標楷體" w:eastAsia="標楷體" w:hAnsi="標楷體" w:hint="eastAsia"/>
          <w:sz w:val="28"/>
        </w:rPr>
        <w:t>1</w:t>
      </w:r>
      <w:r w:rsidR="00AD1D02" w:rsidRPr="00F05BBB">
        <w:rPr>
          <w:rFonts w:ascii="標楷體" w:eastAsia="標楷體" w:hAnsi="標楷體" w:hint="eastAsia"/>
          <w:sz w:val="28"/>
        </w:rPr>
        <w:t>,</w:t>
      </w:r>
      <w:r w:rsidR="00A36982">
        <w:rPr>
          <w:rFonts w:ascii="標楷體" w:eastAsia="標楷體" w:hAnsi="標楷體" w:hint="eastAsia"/>
          <w:sz w:val="28"/>
        </w:rPr>
        <w:t>62</w:t>
      </w:r>
      <w:r w:rsidR="001808B2">
        <w:rPr>
          <w:rFonts w:ascii="標楷體" w:eastAsia="標楷體" w:hAnsi="標楷體" w:hint="eastAsia"/>
          <w:sz w:val="28"/>
        </w:rPr>
        <w:t>3</w:t>
      </w:r>
      <w:r w:rsidR="00CB6027">
        <w:rPr>
          <w:rFonts w:ascii="標楷體" w:eastAsia="標楷體" w:hAnsi="標楷體" w:hint="eastAsia"/>
          <w:sz w:val="28"/>
        </w:rPr>
        <w:t>億餘</w:t>
      </w:r>
      <w:r w:rsidR="000F2234" w:rsidRPr="00F05BBB">
        <w:rPr>
          <w:rFonts w:ascii="標楷體" w:eastAsia="標楷體" w:hAnsi="標楷體" w:hint="eastAsia"/>
          <w:sz w:val="28"/>
        </w:rPr>
        <w:t>元</w:t>
      </w:r>
      <w:r w:rsidR="00B0788A" w:rsidRPr="00F05BBB">
        <w:rPr>
          <w:rFonts w:ascii="標楷體" w:eastAsia="標楷體" w:hAnsi="標楷體" w:hint="eastAsia"/>
          <w:sz w:val="28"/>
        </w:rPr>
        <w:t>，</w:t>
      </w:r>
      <w:r w:rsidR="00FE1DAB" w:rsidRPr="00F05BBB">
        <w:rPr>
          <w:rFonts w:ascii="標楷體" w:eastAsia="標楷體" w:hAnsi="標楷體" w:hint="eastAsia"/>
          <w:sz w:val="28"/>
        </w:rPr>
        <w:t>執行數</w:t>
      </w:r>
      <w:r w:rsidR="001808B2">
        <w:rPr>
          <w:rFonts w:ascii="標楷體" w:eastAsia="標楷體" w:hAnsi="標楷體" w:hint="eastAsia"/>
          <w:sz w:val="28"/>
        </w:rPr>
        <w:t>722</w:t>
      </w:r>
      <w:r w:rsidR="0065104D">
        <w:rPr>
          <w:rFonts w:ascii="標楷體" w:eastAsia="標楷體" w:hAnsi="標楷體" w:hint="eastAsia"/>
          <w:sz w:val="28"/>
        </w:rPr>
        <w:t>億</w:t>
      </w:r>
      <w:r w:rsidR="00CB6027">
        <w:rPr>
          <w:rFonts w:ascii="標楷體" w:eastAsia="標楷體" w:hAnsi="標楷體" w:hint="eastAsia"/>
          <w:sz w:val="28"/>
        </w:rPr>
        <w:t>餘</w:t>
      </w:r>
      <w:r w:rsidR="000F2234" w:rsidRPr="00F05BBB">
        <w:rPr>
          <w:rFonts w:ascii="標楷體" w:eastAsia="標楷體" w:hAnsi="標楷體" w:hint="eastAsia"/>
          <w:sz w:val="28"/>
        </w:rPr>
        <w:t>元</w:t>
      </w:r>
      <w:r w:rsidR="00FE1DAB" w:rsidRPr="00F05BBB">
        <w:rPr>
          <w:rFonts w:ascii="標楷體" w:eastAsia="標楷體" w:hAnsi="標楷體" w:hint="eastAsia"/>
          <w:sz w:val="28"/>
        </w:rPr>
        <w:t>，占分配數</w:t>
      </w:r>
      <w:r w:rsidR="001808B2">
        <w:rPr>
          <w:rFonts w:ascii="標楷體" w:eastAsia="標楷體" w:hAnsi="標楷體" w:hint="eastAsia"/>
          <w:sz w:val="28"/>
        </w:rPr>
        <w:t>76</w:t>
      </w:r>
      <w:r w:rsidR="002E234E">
        <w:rPr>
          <w:rFonts w:ascii="標楷體" w:eastAsia="標楷體" w:hAnsi="標楷體" w:hint="eastAsia"/>
          <w:sz w:val="28"/>
        </w:rPr>
        <w:t>6</w:t>
      </w:r>
      <w:r w:rsidR="000F2234" w:rsidRPr="00F05BBB">
        <w:rPr>
          <w:rFonts w:ascii="標楷體" w:eastAsia="標楷體" w:hAnsi="標楷體" w:hint="eastAsia"/>
          <w:sz w:val="28"/>
        </w:rPr>
        <w:t>億</w:t>
      </w:r>
      <w:r w:rsidR="00CB6027">
        <w:rPr>
          <w:rFonts w:ascii="標楷體" w:eastAsia="標楷體" w:hAnsi="標楷體" w:hint="eastAsia"/>
          <w:sz w:val="28"/>
        </w:rPr>
        <w:t>餘</w:t>
      </w:r>
      <w:r w:rsidR="000F2234" w:rsidRPr="00F05BBB">
        <w:rPr>
          <w:rFonts w:ascii="標楷體" w:eastAsia="標楷體" w:hAnsi="標楷體" w:hint="eastAsia"/>
          <w:sz w:val="28"/>
        </w:rPr>
        <w:t>元</w:t>
      </w:r>
      <w:r w:rsidR="00FE1DAB" w:rsidRPr="00F05BBB">
        <w:rPr>
          <w:rFonts w:ascii="標楷體" w:eastAsia="標楷體" w:hAnsi="標楷體" w:hint="eastAsia"/>
          <w:sz w:val="28"/>
        </w:rPr>
        <w:t>之</w:t>
      </w:r>
      <w:r w:rsidR="00FE1DAB" w:rsidRPr="00F05BBB">
        <w:rPr>
          <w:rFonts w:ascii="標楷體" w:eastAsia="標楷體" w:hAnsi="標楷體"/>
          <w:sz w:val="28"/>
        </w:rPr>
        <w:t>9</w:t>
      </w:r>
      <w:r w:rsidR="001808B2">
        <w:rPr>
          <w:rFonts w:ascii="標楷體" w:eastAsia="標楷體" w:hAnsi="標楷體" w:hint="eastAsia"/>
          <w:sz w:val="28"/>
        </w:rPr>
        <w:t>4.2</w:t>
      </w:r>
      <w:r w:rsidR="00FE1DAB" w:rsidRPr="00F05BBB">
        <w:rPr>
          <w:rFonts w:ascii="標楷體" w:eastAsia="標楷體" w:hAnsi="標楷體" w:hint="eastAsia"/>
          <w:sz w:val="28"/>
        </w:rPr>
        <w:t>％。</w:t>
      </w:r>
    </w:p>
    <w:p w:rsidR="00FE1DAB" w:rsidRDefault="00934132" w:rsidP="00801857">
      <w:pPr>
        <w:pStyle w:val="7"/>
        <w:numPr>
          <w:ilvl w:val="0"/>
          <w:numId w:val="14"/>
        </w:numPr>
        <w:ind w:left="882" w:hanging="882"/>
        <w:rPr>
          <w:rFonts w:ascii="標楷體" w:eastAsia="標楷體" w:hAnsi="標楷體"/>
          <w:sz w:val="28"/>
        </w:rPr>
      </w:pPr>
      <w:r w:rsidRPr="00F05BBB">
        <w:rPr>
          <w:rFonts w:ascii="標楷體" w:eastAsia="標楷體" w:hAnsi="標楷體" w:hint="eastAsia"/>
          <w:sz w:val="28"/>
        </w:rPr>
        <w:t>衛生福利部</w:t>
      </w:r>
      <w:r w:rsidR="00FE1DAB" w:rsidRPr="00F05BBB">
        <w:rPr>
          <w:rFonts w:ascii="標楷體" w:eastAsia="標楷體" w:hAnsi="標楷體" w:hint="eastAsia"/>
          <w:sz w:val="28"/>
        </w:rPr>
        <w:t>主管：</w:t>
      </w:r>
      <w:r w:rsidR="00B0788A" w:rsidRPr="00F05BBB">
        <w:rPr>
          <w:rFonts w:ascii="標楷體" w:eastAsia="標楷體" w:hAnsi="標楷體" w:hint="eastAsia"/>
          <w:sz w:val="28"/>
        </w:rPr>
        <w:t>預算數</w:t>
      </w:r>
      <w:r w:rsidR="009B6A19">
        <w:rPr>
          <w:rFonts w:ascii="標楷體" w:eastAsia="標楷體" w:hAnsi="標楷體" w:hint="eastAsia"/>
          <w:sz w:val="28"/>
        </w:rPr>
        <w:t>2,</w:t>
      </w:r>
      <w:r w:rsidR="00A36982">
        <w:rPr>
          <w:rFonts w:ascii="標楷體" w:eastAsia="標楷體" w:hAnsi="標楷體" w:hint="eastAsia"/>
          <w:sz w:val="28"/>
        </w:rPr>
        <w:t>311</w:t>
      </w:r>
      <w:r w:rsidR="000F2234" w:rsidRPr="00F05BBB">
        <w:rPr>
          <w:rFonts w:ascii="標楷體" w:eastAsia="標楷體" w:hAnsi="標楷體" w:hint="eastAsia"/>
          <w:sz w:val="28"/>
        </w:rPr>
        <w:t>億</w:t>
      </w:r>
      <w:r w:rsidR="00CB6027">
        <w:rPr>
          <w:rFonts w:ascii="標楷體" w:eastAsia="標楷體" w:hAnsi="標楷體" w:hint="eastAsia"/>
          <w:sz w:val="28"/>
        </w:rPr>
        <w:t>餘</w:t>
      </w:r>
      <w:r w:rsidR="000F2234" w:rsidRPr="00F05BBB">
        <w:rPr>
          <w:rFonts w:ascii="標楷體" w:eastAsia="標楷體" w:hAnsi="標楷體" w:hint="eastAsia"/>
          <w:sz w:val="28"/>
        </w:rPr>
        <w:t>元</w:t>
      </w:r>
      <w:r w:rsidR="00B0788A" w:rsidRPr="00F05BBB">
        <w:rPr>
          <w:rFonts w:ascii="標楷體" w:eastAsia="標楷體" w:hAnsi="標楷體" w:hint="eastAsia"/>
          <w:sz w:val="28"/>
        </w:rPr>
        <w:t>，</w:t>
      </w:r>
      <w:r w:rsidR="00FE1DAB" w:rsidRPr="00F05BBB">
        <w:rPr>
          <w:rFonts w:ascii="標楷體" w:eastAsia="標楷體" w:hAnsi="標楷體" w:hint="eastAsia"/>
          <w:sz w:val="28"/>
        </w:rPr>
        <w:t>執行數</w:t>
      </w:r>
      <w:r w:rsidR="003A02DB" w:rsidRPr="00F05BBB">
        <w:rPr>
          <w:rFonts w:ascii="標楷體" w:eastAsia="標楷體" w:hAnsi="標楷體" w:hint="eastAsia"/>
          <w:sz w:val="28"/>
        </w:rPr>
        <w:t>1</w:t>
      </w:r>
      <w:r w:rsidR="00AD1D02" w:rsidRPr="00F05BBB">
        <w:rPr>
          <w:rFonts w:ascii="標楷體" w:eastAsia="標楷體" w:hAnsi="標楷體" w:hint="eastAsia"/>
          <w:sz w:val="28"/>
        </w:rPr>
        <w:t>,</w:t>
      </w:r>
      <w:r w:rsidR="00A326D5">
        <w:rPr>
          <w:rFonts w:ascii="標楷體" w:eastAsia="標楷體" w:hAnsi="標楷體" w:hint="eastAsia"/>
          <w:sz w:val="28"/>
        </w:rPr>
        <w:t>575</w:t>
      </w:r>
      <w:r w:rsidR="000F2234" w:rsidRPr="00F05BBB">
        <w:rPr>
          <w:rFonts w:ascii="標楷體" w:eastAsia="標楷體" w:hAnsi="標楷體" w:hint="eastAsia"/>
          <w:sz w:val="28"/>
        </w:rPr>
        <w:t>億</w:t>
      </w:r>
      <w:r w:rsidR="00CB6027">
        <w:rPr>
          <w:rFonts w:ascii="標楷體" w:eastAsia="標楷體" w:hAnsi="標楷體" w:hint="eastAsia"/>
          <w:sz w:val="28"/>
        </w:rPr>
        <w:t>餘</w:t>
      </w:r>
      <w:r w:rsidR="000F2234" w:rsidRPr="00F05BBB">
        <w:rPr>
          <w:rFonts w:ascii="標楷體" w:eastAsia="標楷體" w:hAnsi="標楷體" w:hint="eastAsia"/>
          <w:sz w:val="28"/>
        </w:rPr>
        <w:t>元</w:t>
      </w:r>
      <w:r w:rsidR="00FE1DAB" w:rsidRPr="00F05BBB">
        <w:rPr>
          <w:rFonts w:ascii="標楷體" w:eastAsia="標楷體" w:hAnsi="標楷體" w:hint="eastAsia"/>
          <w:sz w:val="28"/>
        </w:rPr>
        <w:t>，占分配數</w:t>
      </w:r>
      <w:r w:rsidR="00A326D5">
        <w:rPr>
          <w:rFonts w:ascii="標楷體" w:eastAsia="標楷體" w:hAnsi="標楷體" w:hint="eastAsia"/>
          <w:sz w:val="28"/>
        </w:rPr>
        <w:t>1,62</w:t>
      </w:r>
      <w:r w:rsidR="002E234E">
        <w:rPr>
          <w:rFonts w:ascii="標楷體" w:eastAsia="標楷體" w:hAnsi="標楷體" w:hint="eastAsia"/>
          <w:sz w:val="28"/>
        </w:rPr>
        <w:t>0</w:t>
      </w:r>
      <w:r w:rsidR="000F2234" w:rsidRPr="00F05BBB">
        <w:rPr>
          <w:rFonts w:ascii="標楷體" w:eastAsia="標楷體" w:hAnsi="標楷體" w:hint="eastAsia"/>
          <w:sz w:val="28"/>
        </w:rPr>
        <w:t>億</w:t>
      </w:r>
      <w:r w:rsidR="00CB6027">
        <w:rPr>
          <w:rFonts w:ascii="標楷體" w:eastAsia="標楷體" w:hAnsi="標楷體" w:hint="eastAsia"/>
          <w:sz w:val="28"/>
        </w:rPr>
        <w:t>餘</w:t>
      </w:r>
      <w:r w:rsidR="000F2234" w:rsidRPr="00F05BBB">
        <w:rPr>
          <w:rFonts w:ascii="標楷體" w:eastAsia="標楷體" w:hAnsi="標楷體" w:hint="eastAsia"/>
          <w:sz w:val="28"/>
        </w:rPr>
        <w:t>元</w:t>
      </w:r>
      <w:r w:rsidR="00FE1DAB" w:rsidRPr="00F05BBB">
        <w:rPr>
          <w:rFonts w:ascii="標楷體" w:eastAsia="標楷體" w:hAnsi="標楷體" w:hint="eastAsia"/>
          <w:sz w:val="28"/>
        </w:rPr>
        <w:t>之</w:t>
      </w:r>
      <w:r w:rsidR="003A02DB" w:rsidRPr="00F05BBB">
        <w:rPr>
          <w:rFonts w:ascii="標楷體" w:eastAsia="標楷體" w:hAnsi="標楷體" w:hint="eastAsia"/>
          <w:sz w:val="28"/>
        </w:rPr>
        <w:t>9</w:t>
      </w:r>
      <w:r w:rsidR="00336B88">
        <w:rPr>
          <w:rFonts w:ascii="標楷體" w:eastAsia="標楷體" w:hAnsi="標楷體" w:hint="eastAsia"/>
          <w:sz w:val="28"/>
        </w:rPr>
        <w:t>7.</w:t>
      </w:r>
      <w:r w:rsidR="00A326D5">
        <w:rPr>
          <w:rFonts w:ascii="標楷體" w:eastAsia="標楷體" w:hAnsi="標楷體" w:hint="eastAsia"/>
          <w:sz w:val="28"/>
        </w:rPr>
        <w:t>2</w:t>
      </w:r>
      <w:r w:rsidR="00FE1DAB" w:rsidRPr="00F05BBB">
        <w:rPr>
          <w:rFonts w:ascii="標楷體" w:eastAsia="標楷體" w:hAnsi="標楷體" w:hint="eastAsia"/>
          <w:sz w:val="28"/>
        </w:rPr>
        <w:t>％。</w:t>
      </w:r>
    </w:p>
    <w:p w:rsidR="00477B97" w:rsidRPr="000646D5" w:rsidRDefault="00477B97" w:rsidP="00801857">
      <w:pPr>
        <w:pStyle w:val="7"/>
        <w:numPr>
          <w:ilvl w:val="0"/>
          <w:numId w:val="14"/>
        </w:numPr>
        <w:ind w:left="882" w:hanging="882"/>
        <w:rPr>
          <w:rFonts w:ascii="標楷體" w:eastAsia="標楷體" w:hAnsi="標楷體"/>
          <w:sz w:val="28"/>
        </w:rPr>
      </w:pPr>
      <w:r w:rsidRPr="00F05BBB">
        <w:rPr>
          <w:rFonts w:ascii="標楷體" w:eastAsia="標楷體" w:hAnsi="標楷體" w:hint="eastAsia"/>
          <w:sz w:val="28"/>
        </w:rPr>
        <w:t>環境保護署主管：預算數</w:t>
      </w:r>
      <w:r w:rsidR="00A36982">
        <w:rPr>
          <w:rFonts w:ascii="標楷體" w:eastAsia="標楷體" w:hAnsi="標楷體" w:hint="eastAsia"/>
          <w:sz w:val="28"/>
        </w:rPr>
        <w:t>6</w:t>
      </w:r>
      <w:r w:rsidR="00336B88">
        <w:rPr>
          <w:rFonts w:ascii="標楷體" w:eastAsia="標楷體" w:hAnsi="標楷體" w:hint="eastAsia"/>
          <w:sz w:val="28"/>
        </w:rPr>
        <w:t>0</w:t>
      </w:r>
      <w:r w:rsidRPr="00F05BBB">
        <w:rPr>
          <w:rFonts w:ascii="標楷體" w:eastAsia="標楷體" w:hAnsi="標楷體" w:hint="eastAsia"/>
          <w:sz w:val="28"/>
        </w:rPr>
        <w:t>億</w:t>
      </w:r>
      <w:r>
        <w:rPr>
          <w:rFonts w:ascii="標楷體" w:eastAsia="標楷體" w:hAnsi="標楷體" w:hint="eastAsia"/>
          <w:sz w:val="28"/>
        </w:rPr>
        <w:t>餘</w:t>
      </w:r>
      <w:r w:rsidRPr="00F05BBB">
        <w:rPr>
          <w:rFonts w:ascii="標楷體" w:eastAsia="標楷體" w:hAnsi="標楷體" w:hint="eastAsia"/>
          <w:sz w:val="28"/>
        </w:rPr>
        <w:t>元，執行數1</w:t>
      </w:r>
      <w:r w:rsidR="002E234E">
        <w:rPr>
          <w:rFonts w:ascii="標楷體" w:eastAsia="標楷體" w:hAnsi="標楷體" w:hint="eastAsia"/>
          <w:sz w:val="28"/>
        </w:rPr>
        <w:t>7</w:t>
      </w:r>
      <w:r w:rsidRPr="00F05BBB">
        <w:rPr>
          <w:rFonts w:ascii="標楷體" w:eastAsia="標楷體" w:hAnsi="標楷體" w:hint="eastAsia"/>
          <w:sz w:val="28"/>
        </w:rPr>
        <w:t>億</w:t>
      </w:r>
      <w:r>
        <w:rPr>
          <w:rFonts w:ascii="標楷體" w:eastAsia="標楷體" w:hAnsi="標楷體" w:hint="eastAsia"/>
          <w:sz w:val="28"/>
        </w:rPr>
        <w:t>餘</w:t>
      </w:r>
      <w:r w:rsidRPr="00F05BBB">
        <w:rPr>
          <w:rFonts w:ascii="標楷體" w:eastAsia="標楷體" w:hAnsi="標楷體" w:hint="eastAsia"/>
          <w:sz w:val="28"/>
        </w:rPr>
        <w:t>元，占分配數</w:t>
      </w:r>
      <w:r w:rsidR="00A326D5">
        <w:rPr>
          <w:rFonts w:ascii="標楷體" w:eastAsia="標楷體" w:hAnsi="標楷體" w:hint="eastAsia"/>
          <w:sz w:val="28"/>
        </w:rPr>
        <w:t>23</w:t>
      </w:r>
      <w:r>
        <w:rPr>
          <w:rFonts w:ascii="標楷體" w:eastAsia="標楷體" w:hAnsi="標楷體" w:hint="eastAsia"/>
          <w:sz w:val="28"/>
        </w:rPr>
        <w:t>億餘</w:t>
      </w:r>
      <w:r w:rsidRPr="00F05BBB">
        <w:rPr>
          <w:rFonts w:ascii="標楷體" w:eastAsia="標楷體" w:hAnsi="標楷體" w:hint="eastAsia"/>
          <w:sz w:val="28"/>
        </w:rPr>
        <w:t>元之</w:t>
      </w:r>
      <w:r w:rsidR="00A326D5">
        <w:rPr>
          <w:rFonts w:ascii="標楷體" w:eastAsia="標楷體" w:hAnsi="標楷體" w:hint="eastAsia"/>
          <w:sz w:val="28"/>
        </w:rPr>
        <w:t>75.8</w:t>
      </w:r>
      <w:r w:rsidRPr="00F05BBB">
        <w:rPr>
          <w:rFonts w:ascii="標楷體" w:eastAsia="標楷體" w:hAnsi="標楷體" w:hint="eastAsia"/>
          <w:sz w:val="28"/>
        </w:rPr>
        <w:t>％</w:t>
      </w:r>
      <w:r w:rsidR="002E234E" w:rsidRPr="00D3689E">
        <w:rPr>
          <w:rFonts w:ascii="標楷體" w:eastAsia="標楷體" w:hAnsi="標楷體" w:hint="eastAsia"/>
          <w:sz w:val="28"/>
        </w:rPr>
        <w:t>，</w:t>
      </w:r>
      <w:r w:rsidR="002E234E" w:rsidRPr="00D3689E">
        <w:rPr>
          <w:rFonts w:ascii="標楷體" w:eastAsia="標楷體" w:hAnsi="標楷體"/>
          <w:sz w:val="28"/>
        </w:rPr>
        <w:t>執行進度較預計</w:t>
      </w:r>
      <w:r w:rsidR="002E234E" w:rsidRPr="00D3689E">
        <w:rPr>
          <w:rFonts w:ascii="標楷體" w:eastAsia="標楷體" w:hAnsi="標楷體" w:hint="eastAsia"/>
          <w:sz w:val="28"/>
        </w:rPr>
        <w:t>落</w:t>
      </w:r>
      <w:r w:rsidR="002E234E" w:rsidRPr="00D3689E">
        <w:rPr>
          <w:rFonts w:ascii="標楷體" w:eastAsia="標楷體" w:hAnsi="標楷體"/>
          <w:sz w:val="28"/>
        </w:rPr>
        <w:t>後</w:t>
      </w:r>
      <w:r w:rsidR="002E234E">
        <w:rPr>
          <w:rFonts w:ascii="標楷體" w:eastAsia="標楷體" w:hAnsi="標楷體" w:hint="eastAsia"/>
          <w:sz w:val="28"/>
        </w:rPr>
        <w:t>，</w:t>
      </w:r>
      <w:r w:rsidR="002E234E" w:rsidRPr="00D3689E">
        <w:rPr>
          <w:rFonts w:ascii="標楷體" w:eastAsia="標楷體" w:hAnsi="標楷體" w:hint="eastAsia"/>
          <w:sz w:val="28"/>
        </w:rPr>
        <w:t>主要係</w:t>
      </w:r>
      <w:r w:rsidR="00C54EC2" w:rsidRPr="00C54EC2">
        <w:rPr>
          <w:rFonts w:ascii="標楷體" w:eastAsia="標楷體" w:hAnsi="標楷體" w:hint="eastAsia"/>
          <w:sz w:val="28"/>
        </w:rPr>
        <w:t>部分補助地方政府計畫核定及撥款期程</w:t>
      </w:r>
      <w:r w:rsidR="00E71C37">
        <w:rPr>
          <w:rFonts w:ascii="標楷體" w:eastAsia="標楷體" w:hAnsi="標楷體" w:hint="eastAsia"/>
          <w:sz w:val="28"/>
          <w:lang w:eastAsia="zh-HK"/>
        </w:rPr>
        <w:t>落</w:t>
      </w:r>
      <w:r w:rsidR="00C54EC2" w:rsidRPr="00C54EC2">
        <w:rPr>
          <w:rFonts w:ascii="標楷體" w:eastAsia="標楷體" w:hAnsi="標楷體" w:hint="eastAsia"/>
          <w:sz w:val="28"/>
        </w:rPr>
        <w:t>後，以及採購案多次流標等所致</w:t>
      </w:r>
      <w:r w:rsidR="002E234E" w:rsidRPr="00D3689E">
        <w:rPr>
          <w:rFonts w:ascii="標楷體" w:eastAsia="標楷體" w:hAnsi="標楷體" w:hint="eastAsia"/>
          <w:sz w:val="28"/>
        </w:rPr>
        <w:t>。</w:t>
      </w:r>
    </w:p>
    <w:p w:rsidR="00FE1DAB" w:rsidRPr="00F05BBB" w:rsidRDefault="00934132" w:rsidP="00801857">
      <w:pPr>
        <w:pStyle w:val="7"/>
        <w:numPr>
          <w:ilvl w:val="0"/>
          <w:numId w:val="14"/>
        </w:numPr>
        <w:ind w:left="1134" w:hanging="1134"/>
        <w:rPr>
          <w:rFonts w:ascii="標楷體" w:eastAsia="標楷體" w:hAnsi="標楷體"/>
          <w:sz w:val="28"/>
        </w:rPr>
      </w:pPr>
      <w:r w:rsidRPr="00F05BBB">
        <w:rPr>
          <w:rFonts w:ascii="標楷體" w:eastAsia="標楷體" w:hAnsi="標楷體" w:hint="eastAsia"/>
          <w:sz w:val="28"/>
        </w:rPr>
        <w:t>文化部</w:t>
      </w:r>
      <w:r w:rsidR="00FE1DAB" w:rsidRPr="00F05BBB">
        <w:rPr>
          <w:rFonts w:ascii="標楷體" w:eastAsia="標楷體" w:hAnsi="標楷體" w:hint="eastAsia"/>
          <w:sz w:val="28"/>
        </w:rPr>
        <w:t>主管：</w:t>
      </w:r>
      <w:r w:rsidR="00B0788A" w:rsidRPr="00F05BBB">
        <w:rPr>
          <w:rFonts w:ascii="標楷體" w:eastAsia="標楷體" w:hAnsi="標楷體" w:hint="eastAsia"/>
          <w:sz w:val="28"/>
        </w:rPr>
        <w:t>預算數</w:t>
      </w:r>
      <w:r w:rsidR="003D7680" w:rsidRPr="00F05BBB">
        <w:rPr>
          <w:rFonts w:ascii="標楷體" w:eastAsia="標楷體" w:hAnsi="標楷體" w:hint="eastAsia"/>
          <w:sz w:val="28"/>
        </w:rPr>
        <w:t>1</w:t>
      </w:r>
      <w:r w:rsidR="00336B88">
        <w:rPr>
          <w:rFonts w:ascii="標楷體" w:eastAsia="標楷體" w:hAnsi="標楷體"/>
          <w:sz w:val="28"/>
        </w:rPr>
        <w:t>9</w:t>
      </w:r>
      <w:r w:rsidR="00A36982">
        <w:rPr>
          <w:rFonts w:ascii="標楷體" w:eastAsia="標楷體" w:hAnsi="標楷體" w:hint="eastAsia"/>
          <w:sz w:val="28"/>
        </w:rPr>
        <w:t>4</w:t>
      </w:r>
      <w:r w:rsidR="000F2234" w:rsidRPr="00F05BBB">
        <w:rPr>
          <w:rFonts w:ascii="標楷體" w:eastAsia="標楷體" w:hAnsi="標楷體" w:hint="eastAsia"/>
          <w:sz w:val="28"/>
        </w:rPr>
        <w:t>億</w:t>
      </w:r>
      <w:r w:rsidR="00E04CD4">
        <w:rPr>
          <w:rFonts w:ascii="標楷體" w:eastAsia="標楷體" w:hAnsi="標楷體" w:hint="eastAsia"/>
          <w:sz w:val="28"/>
        </w:rPr>
        <w:t>餘</w:t>
      </w:r>
      <w:r w:rsidR="000F2234" w:rsidRPr="00F05BBB">
        <w:rPr>
          <w:rFonts w:ascii="標楷體" w:eastAsia="標楷體" w:hAnsi="標楷體" w:hint="eastAsia"/>
          <w:sz w:val="28"/>
        </w:rPr>
        <w:t>元</w:t>
      </w:r>
      <w:r w:rsidR="00B0788A" w:rsidRPr="00F05BBB">
        <w:rPr>
          <w:rFonts w:ascii="標楷體" w:eastAsia="標楷體" w:hAnsi="標楷體" w:hint="eastAsia"/>
          <w:sz w:val="28"/>
        </w:rPr>
        <w:t>，</w:t>
      </w:r>
      <w:r w:rsidR="00FE1DAB" w:rsidRPr="00F05BBB">
        <w:rPr>
          <w:rFonts w:ascii="標楷體" w:eastAsia="標楷體" w:hAnsi="標楷體" w:hint="eastAsia"/>
          <w:sz w:val="28"/>
        </w:rPr>
        <w:t>執行數</w:t>
      </w:r>
      <w:r w:rsidR="00336B88">
        <w:rPr>
          <w:rFonts w:ascii="標楷體" w:eastAsia="標楷體" w:hAnsi="標楷體" w:hint="eastAsia"/>
          <w:sz w:val="28"/>
        </w:rPr>
        <w:t>8</w:t>
      </w:r>
      <w:r w:rsidR="00A326D5">
        <w:rPr>
          <w:rFonts w:ascii="標楷體" w:eastAsia="標楷體" w:hAnsi="標楷體" w:hint="eastAsia"/>
          <w:sz w:val="28"/>
        </w:rPr>
        <w:t>5</w:t>
      </w:r>
      <w:r w:rsidR="000F2234" w:rsidRPr="00F05BBB">
        <w:rPr>
          <w:rFonts w:ascii="標楷體" w:eastAsia="標楷體" w:hAnsi="標楷體" w:hint="eastAsia"/>
          <w:sz w:val="28"/>
        </w:rPr>
        <w:t>億</w:t>
      </w:r>
      <w:r w:rsidR="00E04CD4">
        <w:rPr>
          <w:rFonts w:ascii="標楷體" w:eastAsia="標楷體" w:hAnsi="標楷體" w:hint="eastAsia"/>
          <w:sz w:val="28"/>
        </w:rPr>
        <w:t>餘</w:t>
      </w:r>
      <w:r w:rsidR="000F2234" w:rsidRPr="00F05BBB">
        <w:rPr>
          <w:rFonts w:ascii="標楷體" w:eastAsia="標楷體" w:hAnsi="標楷體" w:hint="eastAsia"/>
          <w:sz w:val="28"/>
        </w:rPr>
        <w:t>元</w:t>
      </w:r>
      <w:r w:rsidR="00FE1DAB" w:rsidRPr="00F05BBB">
        <w:rPr>
          <w:rFonts w:ascii="標楷體" w:eastAsia="標楷體" w:hAnsi="標楷體" w:hint="eastAsia"/>
          <w:sz w:val="28"/>
        </w:rPr>
        <w:t>，占分配數</w:t>
      </w:r>
      <w:r w:rsidR="00A326D5">
        <w:rPr>
          <w:rFonts w:ascii="標楷體" w:eastAsia="標楷體" w:hAnsi="標楷體" w:hint="eastAsia"/>
          <w:sz w:val="28"/>
        </w:rPr>
        <w:t>10</w:t>
      </w:r>
      <w:r w:rsidR="002E234E">
        <w:rPr>
          <w:rFonts w:ascii="標楷體" w:eastAsia="標楷體" w:hAnsi="標楷體" w:hint="eastAsia"/>
          <w:sz w:val="28"/>
        </w:rPr>
        <w:t>2</w:t>
      </w:r>
      <w:r w:rsidR="000F2234" w:rsidRPr="00F05BBB">
        <w:rPr>
          <w:rFonts w:ascii="標楷體" w:eastAsia="標楷體" w:hAnsi="標楷體" w:hint="eastAsia"/>
          <w:sz w:val="28"/>
        </w:rPr>
        <w:t>億</w:t>
      </w:r>
      <w:r w:rsidR="00E04CD4">
        <w:rPr>
          <w:rFonts w:ascii="標楷體" w:eastAsia="標楷體" w:hAnsi="標楷體" w:hint="eastAsia"/>
          <w:sz w:val="28"/>
        </w:rPr>
        <w:t>餘</w:t>
      </w:r>
      <w:r w:rsidR="000F2234" w:rsidRPr="00F05BBB">
        <w:rPr>
          <w:rFonts w:ascii="標楷體" w:eastAsia="標楷體" w:hAnsi="標楷體" w:hint="eastAsia"/>
          <w:sz w:val="28"/>
        </w:rPr>
        <w:t>元</w:t>
      </w:r>
      <w:r w:rsidR="00FE1DAB" w:rsidRPr="00F05BBB">
        <w:rPr>
          <w:rFonts w:ascii="標楷體" w:eastAsia="標楷體" w:hAnsi="標楷體" w:hint="eastAsia"/>
          <w:sz w:val="28"/>
        </w:rPr>
        <w:t>之</w:t>
      </w:r>
      <w:r w:rsidR="002E234E">
        <w:rPr>
          <w:rFonts w:ascii="標楷體" w:eastAsia="標楷體" w:hAnsi="標楷體" w:hint="eastAsia"/>
          <w:sz w:val="28"/>
        </w:rPr>
        <w:t>82.9</w:t>
      </w:r>
      <w:r w:rsidR="00FE1DAB" w:rsidRPr="00F05BBB">
        <w:rPr>
          <w:rFonts w:ascii="標楷體" w:eastAsia="標楷體" w:hAnsi="標楷體" w:hint="eastAsia"/>
          <w:sz w:val="28"/>
        </w:rPr>
        <w:t>％</w:t>
      </w:r>
      <w:r w:rsidR="006715C0" w:rsidRPr="00F05BBB">
        <w:rPr>
          <w:rFonts w:ascii="標楷體" w:eastAsia="標楷體" w:hAnsi="標楷體" w:hint="eastAsia"/>
          <w:sz w:val="28"/>
        </w:rPr>
        <w:t>。</w:t>
      </w:r>
    </w:p>
    <w:p w:rsidR="00437534" w:rsidRPr="00F05BBB" w:rsidRDefault="00336B88" w:rsidP="00801857">
      <w:pPr>
        <w:pStyle w:val="7"/>
        <w:numPr>
          <w:ilvl w:val="0"/>
          <w:numId w:val="14"/>
        </w:numPr>
        <w:ind w:left="1134" w:hanging="1134"/>
        <w:rPr>
          <w:rFonts w:ascii="標楷體" w:eastAsia="標楷體" w:hAnsi="標楷體"/>
          <w:sz w:val="28"/>
        </w:rPr>
      </w:pPr>
      <w:r w:rsidRPr="00F05BBB">
        <w:rPr>
          <w:rFonts w:ascii="標楷體" w:eastAsia="標楷體" w:hAnsi="標楷體" w:hint="eastAsia"/>
          <w:sz w:val="28"/>
        </w:rPr>
        <w:t>科技部主管：預算數</w:t>
      </w:r>
      <w:r>
        <w:rPr>
          <w:rFonts w:ascii="標楷體" w:eastAsia="標楷體" w:hAnsi="標楷體"/>
          <w:sz w:val="28"/>
        </w:rPr>
        <w:t>4</w:t>
      </w:r>
      <w:r w:rsidR="00A36982">
        <w:rPr>
          <w:rFonts w:ascii="標楷體" w:eastAsia="標楷體" w:hAnsi="標楷體" w:hint="eastAsia"/>
          <w:sz w:val="28"/>
        </w:rPr>
        <w:t>18</w:t>
      </w:r>
      <w:r w:rsidRPr="00F05BBB">
        <w:rPr>
          <w:rFonts w:ascii="標楷體" w:eastAsia="標楷體" w:hAnsi="標楷體" w:hint="eastAsia"/>
          <w:sz w:val="28"/>
        </w:rPr>
        <w:t>億</w:t>
      </w:r>
      <w:r>
        <w:rPr>
          <w:rFonts w:ascii="標楷體" w:eastAsia="標楷體" w:hAnsi="標楷體" w:hint="eastAsia"/>
          <w:sz w:val="28"/>
        </w:rPr>
        <w:t>餘</w:t>
      </w:r>
      <w:r w:rsidRPr="00F05BBB">
        <w:rPr>
          <w:rFonts w:ascii="標楷體" w:eastAsia="標楷體" w:hAnsi="標楷體" w:hint="eastAsia"/>
          <w:sz w:val="28"/>
        </w:rPr>
        <w:t>元，執行數</w:t>
      </w:r>
      <w:r w:rsidR="00487835">
        <w:rPr>
          <w:rFonts w:ascii="標楷體" w:eastAsia="標楷體" w:hAnsi="標楷體" w:hint="eastAsia"/>
          <w:sz w:val="28"/>
        </w:rPr>
        <w:t>20</w:t>
      </w:r>
      <w:r w:rsidR="002E234E">
        <w:rPr>
          <w:rFonts w:ascii="標楷體" w:eastAsia="標楷體" w:hAnsi="標楷體" w:hint="eastAsia"/>
          <w:sz w:val="28"/>
        </w:rPr>
        <w:t>4</w:t>
      </w:r>
      <w:r w:rsidRPr="00F05BBB">
        <w:rPr>
          <w:rFonts w:ascii="標楷體" w:eastAsia="標楷體" w:hAnsi="標楷體" w:hint="eastAsia"/>
          <w:sz w:val="28"/>
        </w:rPr>
        <w:t>億</w:t>
      </w:r>
      <w:r>
        <w:rPr>
          <w:rFonts w:ascii="標楷體" w:eastAsia="標楷體" w:hAnsi="標楷體" w:hint="eastAsia"/>
          <w:sz w:val="28"/>
        </w:rPr>
        <w:t>餘</w:t>
      </w:r>
      <w:r w:rsidRPr="00F05BBB">
        <w:rPr>
          <w:rFonts w:ascii="標楷體" w:eastAsia="標楷體" w:hAnsi="標楷體" w:hint="eastAsia"/>
          <w:sz w:val="28"/>
        </w:rPr>
        <w:t>元，占分配數</w:t>
      </w:r>
      <w:r w:rsidR="00487835">
        <w:rPr>
          <w:rFonts w:ascii="標楷體" w:eastAsia="標楷體" w:hAnsi="標楷體" w:hint="eastAsia"/>
          <w:sz w:val="28"/>
        </w:rPr>
        <w:t>20</w:t>
      </w:r>
      <w:r w:rsidR="002E234E">
        <w:rPr>
          <w:rFonts w:ascii="標楷體" w:eastAsia="標楷體" w:hAnsi="標楷體" w:hint="eastAsia"/>
          <w:sz w:val="28"/>
        </w:rPr>
        <w:t>5</w:t>
      </w:r>
      <w:r w:rsidRPr="00F05BBB">
        <w:rPr>
          <w:rFonts w:ascii="標楷體" w:eastAsia="標楷體" w:hAnsi="標楷體" w:hint="eastAsia"/>
          <w:sz w:val="28"/>
        </w:rPr>
        <w:t>億</w:t>
      </w:r>
      <w:r>
        <w:rPr>
          <w:rFonts w:ascii="標楷體" w:eastAsia="標楷體" w:hAnsi="標楷體" w:hint="eastAsia"/>
          <w:sz w:val="28"/>
        </w:rPr>
        <w:t>餘</w:t>
      </w:r>
      <w:r w:rsidRPr="00F05BBB">
        <w:rPr>
          <w:rFonts w:ascii="標楷體" w:eastAsia="標楷體" w:hAnsi="標楷體" w:hint="eastAsia"/>
          <w:sz w:val="28"/>
        </w:rPr>
        <w:t>元之99.</w:t>
      </w:r>
      <w:r>
        <w:rPr>
          <w:rFonts w:ascii="標楷體" w:eastAsia="標楷體" w:hAnsi="標楷體"/>
          <w:sz w:val="28"/>
        </w:rPr>
        <w:t>4</w:t>
      </w:r>
      <w:r w:rsidRPr="00F05BBB">
        <w:rPr>
          <w:rFonts w:ascii="標楷體" w:eastAsia="標楷體" w:hAnsi="標楷體" w:hint="eastAsia"/>
          <w:sz w:val="28"/>
        </w:rPr>
        <w:t>％</w:t>
      </w:r>
      <w:r>
        <w:rPr>
          <w:rFonts w:ascii="標楷體" w:eastAsia="標楷體" w:hAnsi="標楷體" w:hint="eastAsia"/>
          <w:sz w:val="28"/>
        </w:rPr>
        <w:t>。</w:t>
      </w:r>
    </w:p>
    <w:p w:rsidR="009B122B" w:rsidRDefault="00336B88" w:rsidP="00801857">
      <w:pPr>
        <w:pStyle w:val="7"/>
        <w:numPr>
          <w:ilvl w:val="0"/>
          <w:numId w:val="14"/>
        </w:numPr>
        <w:ind w:left="1134" w:hanging="1134"/>
        <w:rPr>
          <w:rFonts w:ascii="標楷體" w:eastAsia="標楷體" w:hAnsi="標楷體"/>
          <w:sz w:val="28"/>
        </w:rPr>
      </w:pPr>
      <w:r w:rsidRPr="00F05BBB">
        <w:rPr>
          <w:rFonts w:ascii="標楷體" w:eastAsia="標楷體" w:hAnsi="標楷體" w:hint="eastAsia"/>
          <w:sz w:val="28"/>
        </w:rPr>
        <w:t>金融監督管理委員會主管：預算數</w:t>
      </w:r>
      <w:r w:rsidR="00BE4D7D">
        <w:rPr>
          <w:rFonts w:ascii="標楷體" w:eastAsia="標楷體" w:hAnsi="標楷體" w:hint="eastAsia"/>
          <w:sz w:val="28"/>
        </w:rPr>
        <w:t>15</w:t>
      </w:r>
      <w:r w:rsidRPr="00F05BBB">
        <w:rPr>
          <w:rFonts w:ascii="標楷體" w:eastAsia="標楷體" w:hAnsi="標楷體" w:hint="eastAsia"/>
          <w:sz w:val="28"/>
        </w:rPr>
        <w:t>億</w:t>
      </w:r>
      <w:r>
        <w:rPr>
          <w:rFonts w:ascii="標楷體" w:eastAsia="標楷體" w:hAnsi="標楷體" w:hint="eastAsia"/>
          <w:sz w:val="28"/>
        </w:rPr>
        <w:t>餘</w:t>
      </w:r>
      <w:r w:rsidRPr="00F05BBB">
        <w:rPr>
          <w:rFonts w:ascii="標楷體" w:eastAsia="標楷體" w:hAnsi="標楷體" w:hint="eastAsia"/>
          <w:sz w:val="28"/>
        </w:rPr>
        <w:t>元，執行數</w:t>
      </w:r>
      <w:r w:rsidR="00BE4D7D">
        <w:rPr>
          <w:rFonts w:ascii="標楷體" w:eastAsia="標楷體" w:hAnsi="標楷體" w:hint="eastAsia"/>
          <w:sz w:val="28"/>
        </w:rPr>
        <w:t>8</w:t>
      </w:r>
      <w:r>
        <w:rPr>
          <w:rFonts w:ascii="標楷體" w:eastAsia="標楷體" w:hAnsi="標楷體" w:hint="eastAsia"/>
          <w:sz w:val="28"/>
        </w:rPr>
        <w:t>億餘</w:t>
      </w:r>
      <w:r w:rsidRPr="00F05BBB">
        <w:rPr>
          <w:rFonts w:ascii="標楷體" w:eastAsia="標楷體" w:hAnsi="標楷體" w:hint="eastAsia"/>
          <w:sz w:val="28"/>
        </w:rPr>
        <w:t>元，占分配數</w:t>
      </w:r>
      <w:r w:rsidR="002E234E">
        <w:rPr>
          <w:rFonts w:ascii="標楷體" w:eastAsia="標楷體" w:hAnsi="標楷體" w:hint="eastAsia"/>
          <w:sz w:val="28"/>
        </w:rPr>
        <w:t>8</w:t>
      </w:r>
      <w:r w:rsidRPr="00F05BBB">
        <w:rPr>
          <w:rFonts w:ascii="標楷體" w:eastAsia="標楷體" w:hAnsi="標楷體" w:hint="eastAsia"/>
          <w:sz w:val="28"/>
        </w:rPr>
        <w:t>億</w:t>
      </w:r>
      <w:r>
        <w:rPr>
          <w:rFonts w:ascii="標楷體" w:eastAsia="標楷體" w:hAnsi="標楷體" w:hint="eastAsia"/>
          <w:sz w:val="28"/>
        </w:rPr>
        <w:t>餘</w:t>
      </w:r>
      <w:r w:rsidRPr="00F05BBB">
        <w:rPr>
          <w:rFonts w:ascii="標楷體" w:eastAsia="標楷體" w:hAnsi="標楷體" w:hint="eastAsia"/>
          <w:sz w:val="28"/>
        </w:rPr>
        <w:t>元之95％</w:t>
      </w:r>
      <w:r w:rsidR="009B122B" w:rsidRPr="00F05BBB">
        <w:rPr>
          <w:rFonts w:ascii="標楷體" w:eastAsia="標楷體" w:hAnsi="標楷體" w:hint="eastAsia"/>
          <w:sz w:val="28"/>
        </w:rPr>
        <w:t>。</w:t>
      </w:r>
    </w:p>
    <w:p w:rsidR="00FE1DAB" w:rsidRPr="00AD6513" w:rsidRDefault="00AD6513" w:rsidP="00801857">
      <w:pPr>
        <w:pStyle w:val="7"/>
        <w:numPr>
          <w:ilvl w:val="0"/>
          <w:numId w:val="14"/>
        </w:numPr>
        <w:ind w:left="1134" w:hanging="1134"/>
        <w:rPr>
          <w:rFonts w:ascii="標楷體" w:eastAsia="標楷體" w:hAnsi="標楷體"/>
          <w:sz w:val="28"/>
        </w:rPr>
      </w:pPr>
      <w:r>
        <w:rPr>
          <w:rFonts w:ascii="標楷體" w:eastAsia="標楷體" w:hAnsi="標楷體" w:hint="eastAsia"/>
          <w:sz w:val="28"/>
        </w:rPr>
        <w:lastRenderedPageBreak/>
        <w:t>海洋委員會</w:t>
      </w:r>
      <w:r w:rsidRPr="00AD6513">
        <w:rPr>
          <w:rFonts w:ascii="標楷體" w:eastAsia="標楷體" w:hAnsi="標楷體" w:hint="eastAsia"/>
          <w:sz w:val="28"/>
        </w:rPr>
        <w:t>主管：預算數</w:t>
      </w:r>
      <w:r w:rsidR="00A36982">
        <w:rPr>
          <w:rFonts w:ascii="標楷體" w:eastAsia="標楷體" w:hAnsi="標楷體" w:hint="eastAsia"/>
          <w:sz w:val="28"/>
        </w:rPr>
        <w:t>21</w:t>
      </w:r>
      <w:r w:rsidR="002E234E">
        <w:rPr>
          <w:rFonts w:ascii="標楷體" w:eastAsia="標楷體" w:hAnsi="標楷體"/>
          <w:sz w:val="28"/>
        </w:rPr>
        <w:t>2</w:t>
      </w:r>
      <w:r w:rsidRPr="00AD6513">
        <w:rPr>
          <w:rFonts w:ascii="標楷體" w:eastAsia="標楷體" w:hAnsi="標楷體" w:hint="eastAsia"/>
          <w:sz w:val="28"/>
        </w:rPr>
        <w:t>億餘元，執行數</w:t>
      </w:r>
      <w:r w:rsidR="00487835">
        <w:rPr>
          <w:rFonts w:ascii="標楷體" w:eastAsia="標楷體" w:hAnsi="標楷體" w:hint="eastAsia"/>
          <w:sz w:val="28"/>
        </w:rPr>
        <w:t>10</w:t>
      </w:r>
      <w:r w:rsidR="002E234E">
        <w:rPr>
          <w:rFonts w:ascii="標楷體" w:eastAsia="標楷體" w:hAnsi="標楷體"/>
          <w:sz w:val="28"/>
        </w:rPr>
        <w:t>7</w:t>
      </w:r>
      <w:r w:rsidRPr="00AD6513">
        <w:rPr>
          <w:rFonts w:ascii="標楷體" w:eastAsia="標楷體" w:hAnsi="標楷體" w:hint="eastAsia"/>
          <w:sz w:val="28"/>
        </w:rPr>
        <w:t>億餘元，占分配數</w:t>
      </w:r>
      <w:r w:rsidR="00487835">
        <w:rPr>
          <w:rFonts w:ascii="標楷體" w:eastAsia="標楷體" w:hAnsi="標楷體" w:hint="eastAsia"/>
          <w:sz w:val="28"/>
        </w:rPr>
        <w:t>11</w:t>
      </w:r>
      <w:r w:rsidR="002E234E">
        <w:rPr>
          <w:rFonts w:ascii="標楷體" w:eastAsia="標楷體" w:hAnsi="標楷體"/>
          <w:sz w:val="28"/>
        </w:rPr>
        <w:t>5</w:t>
      </w:r>
      <w:r w:rsidRPr="00AD6513">
        <w:rPr>
          <w:rFonts w:ascii="標楷體" w:eastAsia="標楷體" w:hAnsi="標楷體" w:hint="eastAsia"/>
          <w:sz w:val="28"/>
        </w:rPr>
        <w:t>億餘元之</w:t>
      </w:r>
      <w:r w:rsidR="00573B08">
        <w:rPr>
          <w:rFonts w:ascii="標楷體" w:eastAsia="標楷體" w:hAnsi="標楷體" w:hint="eastAsia"/>
          <w:sz w:val="28"/>
        </w:rPr>
        <w:t>9</w:t>
      </w:r>
      <w:r w:rsidR="00487835">
        <w:rPr>
          <w:rFonts w:ascii="標楷體" w:eastAsia="標楷體" w:hAnsi="標楷體" w:hint="eastAsia"/>
          <w:sz w:val="28"/>
        </w:rPr>
        <w:t>2.9</w:t>
      </w:r>
      <w:r w:rsidR="004837AF">
        <w:rPr>
          <w:rFonts w:ascii="標楷體" w:eastAsia="標楷體" w:hAnsi="標楷體" w:hint="eastAsia"/>
          <w:sz w:val="28"/>
        </w:rPr>
        <w:t>％</w:t>
      </w:r>
      <w:r w:rsidR="00FE1DAB" w:rsidRPr="00AD6513">
        <w:rPr>
          <w:rFonts w:ascii="標楷體" w:eastAsia="標楷體" w:hAnsi="標楷體" w:hint="eastAsia"/>
          <w:sz w:val="28"/>
        </w:rPr>
        <w:t>。</w:t>
      </w:r>
    </w:p>
    <w:p w:rsidR="00DC4C01" w:rsidRPr="00F05BBB" w:rsidRDefault="00934132" w:rsidP="00801857">
      <w:pPr>
        <w:pStyle w:val="7"/>
        <w:numPr>
          <w:ilvl w:val="0"/>
          <w:numId w:val="14"/>
        </w:numPr>
        <w:ind w:left="1134" w:hanging="1134"/>
        <w:rPr>
          <w:rFonts w:ascii="標楷體" w:eastAsia="標楷體" w:hAnsi="標楷體"/>
          <w:sz w:val="28"/>
        </w:rPr>
      </w:pPr>
      <w:r w:rsidRPr="00F05BBB">
        <w:rPr>
          <w:rFonts w:ascii="標楷體" w:eastAsia="標楷體" w:hAnsi="標楷體" w:hint="eastAsia"/>
          <w:sz w:val="28"/>
        </w:rPr>
        <w:t>國軍退除役官兵輔導委員會</w:t>
      </w:r>
      <w:r w:rsidR="00DC4C01" w:rsidRPr="00F05BBB">
        <w:rPr>
          <w:rFonts w:ascii="標楷體" w:eastAsia="標楷體" w:hAnsi="標楷體" w:hint="eastAsia"/>
          <w:sz w:val="28"/>
        </w:rPr>
        <w:t>主管：預算數1</w:t>
      </w:r>
      <w:r w:rsidR="00B017B6" w:rsidRPr="00F05BBB">
        <w:rPr>
          <w:rFonts w:ascii="標楷體" w:eastAsia="標楷體" w:hAnsi="標楷體" w:hint="eastAsia"/>
          <w:sz w:val="28"/>
        </w:rPr>
        <w:t>,</w:t>
      </w:r>
      <w:r w:rsidR="00573B08">
        <w:rPr>
          <w:rFonts w:ascii="標楷體" w:eastAsia="標楷體" w:hAnsi="標楷體" w:hint="eastAsia"/>
          <w:sz w:val="28"/>
        </w:rPr>
        <w:t>2</w:t>
      </w:r>
      <w:r w:rsidR="00A36982">
        <w:rPr>
          <w:rFonts w:ascii="標楷體" w:eastAsia="標楷體" w:hAnsi="標楷體" w:hint="eastAsia"/>
          <w:sz w:val="28"/>
        </w:rPr>
        <w:t>82</w:t>
      </w:r>
      <w:r w:rsidR="00DC4C01" w:rsidRPr="00F05BBB">
        <w:rPr>
          <w:rFonts w:ascii="標楷體" w:eastAsia="標楷體" w:hAnsi="標楷體" w:hint="eastAsia"/>
          <w:sz w:val="28"/>
        </w:rPr>
        <w:t>億</w:t>
      </w:r>
      <w:r w:rsidR="00E04CD4">
        <w:rPr>
          <w:rFonts w:ascii="標楷體" w:eastAsia="標楷體" w:hAnsi="標楷體" w:hint="eastAsia"/>
          <w:sz w:val="28"/>
        </w:rPr>
        <w:t>餘</w:t>
      </w:r>
      <w:r w:rsidR="00DC4C01" w:rsidRPr="00F05BBB">
        <w:rPr>
          <w:rFonts w:ascii="標楷體" w:eastAsia="標楷體" w:hAnsi="標楷體" w:hint="eastAsia"/>
          <w:sz w:val="28"/>
        </w:rPr>
        <w:t>元，執行數</w:t>
      </w:r>
      <w:r w:rsidR="00487835">
        <w:rPr>
          <w:rFonts w:ascii="標楷體" w:eastAsia="標楷體" w:hAnsi="標楷體" w:hint="eastAsia"/>
          <w:sz w:val="28"/>
        </w:rPr>
        <w:t>844</w:t>
      </w:r>
      <w:r w:rsidR="00DC4C01" w:rsidRPr="00F05BBB">
        <w:rPr>
          <w:rFonts w:ascii="標楷體" w:eastAsia="標楷體" w:hAnsi="標楷體" w:hint="eastAsia"/>
          <w:sz w:val="28"/>
        </w:rPr>
        <w:t>億</w:t>
      </w:r>
      <w:r w:rsidR="00E04CD4">
        <w:rPr>
          <w:rFonts w:ascii="標楷體" w:eastAsia="標楷體" w:hAnsi="標楷體" w:hint="eastAsia"/>
          <w:sz w:val="28"/>
        </w:rPr>
        <w:t>餘</w:t>
      </w:r>
      <w:r w:rsidR="00DC4C01" w:rsidRPr="00F05BBB">
        <w:rPr>
          <w:rFonts w:ascii="標楷體" w:eastAsia="標楷體" w:hAnsi="標楷體" w:hint="eastAsia"/>
          <w:sz w:val="28"/>
        </w:rPr>
        <w:t>元，占分配數</w:t>
      </w:r>
      <w:r w:rsidR="00487835">
        <w:rPr>
          <w:rFonts w:ascii="標楷體" w:eastAsia="標楷體" w:hAnsi="標楷體" w:hint="eastAsia"/>
          <w:sz w:val="28"/>
        </w:rPr>
        <w:t>877</w:t>
      </w:r>
      <w:r w:rsidR="00DC4C01" w:rsidRPr="00F05BBB">
        <w:rPr>
          <w:rFonts w:ascii="標楷體" w:eastAsia="標楷體" w:hAnsi="標楷體" w:hint="eastAsia"/>
          <w:sz w:val="28"/>
        </w:rPr>
        <w:t>億</w:t>
      </w:r>
      <w:r w:rsidR="00E04CD4">
        <w:rPr>
          <w:rFonts w:ascii="標楷體" w:eastAsia="標楷體" w:hAnsi="標楷體" w:hint="eastAsia"/>
          <w:sz w:val="28"/>
        </w:rPr>
        <w:t>餘</w:t>
      </w:r>
      <w:r w:rsidR="00DC4C01" w:rsidRPr="00F05BBB">
        <w:rPr>
          <w:rFonts w:ascii="標楷體" w:eastAsia="標楷體" w:hAnsi="標楷體" w:hint="eastAsia"/>
          <w:sz w:val="28"/>
        </w:rPr>
        <w:t>元之</w:t>
      </w:r>
      <w:r w:rsidR="00573B08">
        <w:rPr>
          <w:rFonts w:ascii="標楷體" w:eastAsia="標楷體" w:hAnsi="標楷體"/>
          <w:sz w:val="28"/>
        </w:rPr>
        <w:t>9</w:t>
      </w:r>
      <w:r w:rsidR="00487835">
        <w:rPr>
          <w:rFonts w:ascii="標楷體" w:eastAsia="標楷體" w:hAnsi="標楷體" w:hint="eastAsia"/>
          <w:sz w:val="28"/>
        </w:rPr>
        <w:t>6.3</w:t>
      </w:r>
      <w:r w:rsidR="00DC4C01" w:rsidRPr="00F05BBB">
        <w:rPr>
          <w:rFonts w:ascii="標楷體" w:eastAsia="標楷體" w:hAnsi="標楷體" w:hint="eastAsia"/>
          <w:sz w:val="28"/>
        </w:rPr>
        <w:t>％。</w:t>
      </w:r>
    </w:p>
    <w:p w:rsidR="00FE1DAB" w:rsidRDefault="00FE1DAB" w:rsidP="00801857">
      <w:pPr>
        <w:pStyle w:val="7"/>
        <w:numPr>
          <w:ilvl w:val="0"/>
          <w:numId w:val="14"/>
        </w:numPr>
        <w:ind w:left="1134" w:hanging="1134"/>
        <w:rPr>
          <w:rFonts w:ascii="標楷體" w:eastAsia="標楷體" w:hAnsi="標楷體"/>
          <w:sz w:val="28"/>
        </w:rPr>
      </w:pPr>
      <w:r w:rsidRPr="00165F27">
        <w:rPr>
          <w:rFonts w:ascii="標楷體" w:eastAsia="標楷體" w:hAnsi="標楷體" w:hint="eastAsia"/>
          <w:sz w:val="28"/>
        </w:rPr>
        <w:t>省</w:t>
      </w:r>
      <w:r w:rsidRPr="00F05BBB">
        <w:rPr>
          <w:rFonts w:ascii="標楷體" w:eastAsia="標楷體" w:hAnsi="標楷體" w:hint="eastAsia"/>
          <w:sz w:val="28"/>
        </w:rPr>
        <w:t>市地方政府：</w:t>
      </w:r>
      <w:r w:rsidR="00B0788A" w:rsidRPr="00F05BBB">
        <w:rPr>
          <w:rFonts w:ascii="標楷體" w:eastAsia="標楷體" w:hAnsi="標楷體" w:hint="eastAsia"/>
          <w:sz w:val="28"/>
        </w:rPr>
        <w:t>預算數</w:t>
      </w:r>
      <w:r w:rsidR="005728A5" w:rsidRPr="00F05BBB">
        <w:rPr>
          <w:rFonts w:ascii="標楷體" w:eastAsia="標楷體" w:hAnsi="標楷體" w:hint="eastAsia"/>
          <w:sz w:val="28"/>
        </w:rPr>
        <w:t>1</w:t>
      </w:r>
      <w:r w:rsidR="00573B08">
        <w:rPr>
          <w:rFonts w:ascii="標楷體" w:eastAsia="標楷體" w:hAnsi="標楷體" w:hint="eastAsia"/>
          <w:sz w:val="28"/>
        </w:rPr>
        <w:t>,</w:t>
      </w:r>
      <w:r w:rsidR="00487835">
        <w:rPr>
          <w:rFonts w:ascii="標楷體" w:eastAsia="標楷體" w:hAnsi="標楷體" w:hint="eastAsia"/>
          <w:sz w:val="28"/>
        </w:rPr>
        <w:t>762</w:t>
      </w:r>
      <w:r w:rsidR="000F2234" w:rsidRPr="00F05BBB">
        <w:rPr>
          <w:rFonts w:ascii="標楷體" w:eastAsia="標楷體" w:hAnsi="標楷體" w:hint="eastAsia"/>
          <w:sz w:val="28"/>
        </w:rPr>
        <w:t>億</w:t>
      </w:r>
      <w:r w:rsidR="00E04CD4">
        <w:rPr>
          <w:rFonts w:ascii="標楷體" w:eastAsia="標楷體" w:hAnsi="標楷體" w:hint="eastAsia"/>
          <w:sz w:val="28"/>
        </w:rPr>
        <w:t>餘</w:t>
      </w:r>
      <w:r w:rsidR="000F2234" w:rsidRPr="00F05BBB">
        <w:rPr>
          <w:rFonts w:ascii="標楷體" w:eastAsia="標楷體" w:hAnsi="標楷體" w:hint="eastAsia"/>
          <w:sz w:val="28"/>
        </w:rPr>
        <w:t>元</w:t>
      </w:r>
      <w:r w:rsidR="00B0788A" w:rsidRPr="00F05BBB">
        <w:rPr>
          <w:rFonts w:ascii="標楷體" w:eastAsia="標楷體" w:hAnsi="標楷體" w:hint="eastAsia"/>
          <w:sz w:val="28"/>
        </w:rPr>
        <w:t>，</w:t>
      </w:r>
      <w:r w:rsidRPr="00F05BBB">
        <w:rPr>
          <w:rFonts w:ascii="標楷體" w:eastAsia="標楷體" w:hAnsi="標楷體" w:hint="eastAsia"/>
          <w:sz w:val="28"/>
        </w:rPr>
        <w:t>執行數</w:t>
      </w:r>
      <w:r w:rsidR="00487835">
        <w:rPr>
          <w:rFonts w:ascii="標楷體" w:eastAsia="標楷體" w:hAnsi="標楷體" w:hint="eastAsia"/>
          <w:sz w:val="28"/>
        </w:rPr>
        <w:t>921</w:t>
      </w:r>
      <w:r w:rsidR="000F2234" w:rsidRPr="00F05BBB">
        <w:rPr>
          <w:rFonts w:ascii="標楷體" w:eastAsia="標楷體" w:hAnsi="標楷體" w:hint="eastAsia"/>
          <w:sz w:val="28"/>
        </w:rPr>
        <w:t>億</w:t>
      </w:r>
      <w:r w:rsidR="00E04CD4">
        <w:rPr>
          <w:rFonts w:ascii="標楷體" w:eastAsia="標楷體" w:hAnsi="標楷體" w:hint="eastAsia"/>
          <w:sz w:val="28"/>
        </w:rPr>
        <w:t>餘</w:t>
      </w:r>
      <w:r w:rsidR="000F2234" w:rsidRPr="00F05BBB">
        <w:rPr>
          <w:rFonts w:ascii="標楷體" w:eastAsia="標楷體" w:hAnsi="標楷體" w:hint="eastAsia"/>
          <w:sz w:val="28"/>
        </w:rPr>
        <w:t>元</w:t>
      </w:r>
      <w:r w:rsidRPr="00F05BBB">
        <w:rPr>
          <w:rFonts w:ascii="標楷體" w:eastAsia="標楷體" w:hAnsi="標楷體" w:hint="eastAsia"/>
          <w:sz w:val="28"/>
        </w:rPr>
        <w:t>，占分配數</w:t>
      </w:r>
      <w:r w:rsidR="00487835">
        <w:rPr>
          <w:rFonts w:ascii="標楷體" w:eastAsia="標楷體" w:hAnsi="標楷體" w:hint="eastAsia"/>
          <w:sz w:val="28"/>
        </w:rPr>
        <w:t>922</w:t>
      </w:r>
      <w:r w:rsidR="000F2234" w:rsidRPr="00F05BBB">
        <w:rPr>
          <w:rFonts w:ascii="標楷體" w:eastAsia="標楷體" w:hAnsi="標楷體" w:hint="eastAsia"/>
          <w:sz w:val="28"/>
        </w:rPr>
        <w:t>億</w:t>
      </w:r>
      <w:r w:rsidR="00E04CD4">
        <w:rPr>
          <w:rFonts w:ascii="標楷體" w:eastAsia="標楷體" w:hAnsi="標楷體" w:hint="eastAsia"/>
          <w:sz w:val="28"/>
        </w:rPr>
        <w:t>餘</w:t>
      </w:r>
      <w:r w:rsidR="000F2234" w:rsidRPr="00F05BBB">
        <w:rPr>
          <w:rFonts w:ascii="標楷體" w:eastAsia="標楷體" w:hAnsi="標楷體" w:hint="eastAsia"/>
          <w:sz w:val="28"/>
        </w:rPr>
        <w:t>元</w:t>
      </w:r>
      <w:r w:rsidRPr="00F05BBB">
        <w:rPr>
          <w:rFonts w:ascii="標楷體" w:eastAsia="標楷體" w:hAnsi="標楷體" w:hint="eastAsia"/>
          <w:sz w:val="28"/>
        </w:rPr>
        <w:t>之</w:t>
      </w:r>
      <w:r w:rsidR="00BC04F5">
        <w:rPr>
          <w:rFonts w:ascii="標楷體" w:eastAsia="標楷體" w:hAnsi="標楷體" w:hint="eastAsia"/>
          <w:sz w:val="28"/>
        </w:rPr>
        <w:t>9</w:t>
      </w:r>
      <w:r w:rsidR="00487835">
        <w:rPr>
          <w:rFonts w:ascii="標楷體" w:eastAsia="標楷體" w:hAnsi="標楷體" w:hint="eastAsia"/>
          <w:sz w:val="28"/>
        </w:rPr>
        <w:t>9.9</w:t>
      </w:r>
      <w:r w:rsidRPr="00F05BBB">
        <w:rPr>
          <w:rFonts w:ascii="標楷體" w:eastAsia="標楷體" w:hAnsi="標楷體" w:hint="eastAsia"/>
          <w:sz w:val="28"/>
        </w:rPr>
        <w:t>％。</w:t>
      </w:r>
    </w:p>
    <w:p w:rsidR="00FE1DAB" w:rsidRPr="00F05BBB" w:rsidRDefault="00FE1DAB" w:rsidP="00801857">
      <w:pPr>
        <w:pStyle w:val="7"/>
        <w:numPr>
          <w:ilvl w:val="0"/>
          <w:numId w:val="14"/>
        </w:numPr>
        <w:ind w:left="1134" w:hanging="1134"/>
        <w:rPr>
          <w:rFonts w:ascii="標楷體" w:eastAsia="標楷體" w:hAnsi="標楷體"/>
          <w:sz w:val="28"/>
        </w:rPr>
      </w:pPr>
      <w:r w:rsidRPr="00F05BBB">
        <w:rPr>
          <w:rFonts w:ascii="標楷體" w:eastAsia="標楷體" w:hAnsi="標楷體" w:hint="eastAsia"/>
          <w:sz w:val="28"/>
        </w:rPr>
        <w:t>災害準備金：</w:t>
      </w:r>
      <w:r w:rsidR="001437DB" w:rsidRPr="00F05BBB">
        <w:rPr>
          <w:rFonts w:ascii="標楷體" w:eastAsia="標楷體" w:hAnsi="標楷體" w:hint="eastAsia"/>
          <w:sz w:val="28"/>
        </w:rPr>
        <w:t>預算數</w:t>
      </w:r>
      <w:r w:rsidR="006F0F67">
        <w:rPr>
          <w:rFonts w:ascii="標楷體" w:eastAsia="標楷體" w:hAnsi="標楷體"/>
          <w:sz w:val="28"/>
        </w:rPr>
        <w:t>2</w:t>
      </w:r>
      <w:r w:rsidR="00AF7A5D" w:rsidRPr="00F05BBB">
        <w:rPr>
          <w:rFonts w:ascii="標楷體" w:eastAsia="標楷體" w:hAnsi="標楷體" w:hint="eastAsia"/>
          <w:sz w:val="28"/>
        </w:rPr>
        <w:t>0</w:t>
      </w:r>
      <w:r w:rsidR="000F2234" w:rsidRPr="00F05BBB">
        <w:rPr>
          <w:rFonts w:ascii="標楷體" w:eastAsia="標楷體" w:hAnsi="標楷體" w:hint="eastAsia"/>
          <w:sz w:val="28"/>
        </w:rPr>
        <w:t>億元</w:t>
      </w:r>
      <w:r w:rsidR="001437DB" w:rsidRPr="00F05BBB">
        <w:rPr>
          <w:rFonts w:ascii="標楷體" w:eastAsia="標楷體" w:hAnsi="標楷體" w:hint="eastAsia"/>
          <w:sz w:val="28"/>
        </w:rPr>
        <w:t>，</w:t>
      </w:r>
      <w:r w:rsidR="00487835" w:rsidRPr="00F05BBB">
        <w:rPr>
          <w:rFonts w:ascii="標楷體" w:eastAsia="標楷體" w:hAnsi="標楷體" w:hint="eastAsia"/>
          <w:sz w:val="28"/>
        </w:rPr>
        <w:t>已核准動支</w:t>
      </w:r>
      <w:r w:rsidR="00487835">
        <w:rPr>
          <w:rFonts w:ascii="標楷體" w:eastAsia="標楷體" w:hAnsi="標楷體" w:hint="eastAsia"/>
          <w:sz w:val="28"/>
        </w:rPr>
        <w:t>4</w:t>
      </w:r>
      <w:r w:rsidR="00487835" w:rsidRPr="00F05BBB">
        <w:rPr>
          <w:rFonts w:ascii="標楷體" w:eastAsia="標楷體" w:hAnsi="標楷體" w:hint="eastAsia"/>
          <w:sz w:val="28"/>
        </w:rPr>
        <w:t>億</w:t>
      </w:r>
      <w:r w:rsidR="00487835">
        <w:rPr>
          <w:rFonts w:ascii="標楷體" w:eastAsia="標楷體" w:hAnsi="標楷體" w:hint="eastAsia"/>
          <w:sz w:val="28"/>
        </w:rPr>
        <w:t>餘</w:t>
      </w:r>
      <w:r w:rsidR="00487835" w:rsidRPr="00F05BBB">
        <w:rPr>
          <w:rFonts w:ascii="標楷體" w:eastAsia="標楷體" w:hAnsi="標楷體" w:hint="eastAsia"/>
          <w:sz w:val="28"/>
        </w:rPr>
        <w:t>元，尚餘</w:t>
      </w:r>
      <w:r w:rsidR="00487835">
        <w:rPr>
          <w:rFonts w:ascii="標楷體" w:eastAsia="標楷體" w:hAnsi="標楷體" w:hint="eastAsia"/>
          <w:sz w:val="28"/>
        </w:rPr>
        <w:t>15</w:t>
      </w:r>
      <w:r w:rsidR="00487835" w:rsidRPr="00F05BBB">
        <w:rPr>
          <w:rFonts w:ascii="標楷體" w:eastAsia="標楷體" w:hAnsi="標楷體" w:hint="eastAsia"/>
          <w:sz w:val="28"/>
        </w:rPr>
        <w:t>億</w:t>
      </w:r>
      <w:r w:rsidR="00487835">
        <w:rPr>
          <w:rFonts w:ascii="標楷體" w:eastAsia="標楷體" w:hAnsi="標楷體" w:hint="eastAsia"/>
          <w:sz w:val="28"/>
        </w:rPr>
        <w:t>餘</w:t>
      </w:r>
      <w:r w:rsidR="00487835" w:rsidRPr="00F05BBB">
        <w:rPr>
          <w:rFonts w:ascii="標楷體" w:eastAsia="標楷體" w:hAnsi="標楷體" w:hint="eastAsia"/>
          <w:sz w:val="28"/>
        </w:rPr>
        <w:t>元。</w:t>
      </w:r>
    </w:p>
    <w:p w:rsidR="00F578FE" w:rsidRDefault="00FE1DAB" w:rsidP="00801857">
      <w:pPr>
        <w:pStyle w:val="7"/>
        <w:numPr>
          <w:ilvl w:val="0"/>
          <w:numId w:val="14"/>
        </w:numPr>
        <w:ind w:left="1134" w:hanging="1134"/>
        <w:rPr>
          <w:rFonts w:ascii="標楷體" w:eastAsia="標楷體" w:hAnsi="標楷體"/>
          <w:sz w:val="28"/>
        </w:rPr>
      </w:pPr>
      <w:r w:rsidRPr="00C10C0E">
        <w:rPr>
          <w:rFonts w:ascii="標楷體" w:eastAsia="標楷體" w:hAnsi="標楷體" w:hint="eastAsia"/>
          <w:sz w:val="28"/>
        </w:rPr>
        <w:t>第</w:t>
      </w:r>
      <w:r w:rsidRPr="00F05BBB">
        <w:rPr>
          <w:rFonts w:ascii="標楷體" w:eastAsia="標楷體" w:hAnsi="標楷體" w:hint="eastAsia"/>
          <w:sz w:val="28"/>
        </w:rPr>
        <w:t>二預備金</w:t>
      </w:r>
      <w:r w:rsidR="0005519A">
        <w:rPr>
          <w:rFonts w:ascii="標楷體" w:eastAsia="標楷體" w:hAnsi="標楷體" w:hint="eastAsia"/>
          <w:sz w:val="28"/>
        </w:rPr>
        <w:t>：</w:t>
      </w:r>
      <w:r w:rsidR="006E70A3" w:rsidRPr="00F05BBB">
        <w:rPr>
          <w:rFonts w:ascii="標楷體" w:eastAsia="標楷體" w:hAnsi="標楷體" w:hint="eastAsia"/>
          <w:sz w:val="28"/>
        </w:rPr>
        <w:t>預算數7</w:t>
      </w:r>
      <w:r w:rsidR="006E70A3">
        <w:rPr>
          <w:rFonts w:ascii="標楷體" w:eastAsia="標楷體" w:hAnsi="標楷體" w:hint="eastAsia"/>
          <w:sz w:val="28"/>
        </w:rPr>
        <w:t>4</w:t>
      </w:r>
      <w:r w:rsidR="006E70A3" w:rsidRPr="00F05BBB">
        <w:rPr>
          <w:rFonts w:ascii="標楷體" w:eastAsia="標楷體" w:hAnsi="標楷體" w:hint="eastAsia"/>
          <w:sz w:val="28"/>
        </w:rPr>
        <w:t>億元，已核准動支</w:t>
      </w:r>
      <w:r w:rsidR="006E70A3">
        <w:rPr>
          <w:rFonts w:ascii="標楷體" w:eastAsia="標楷體" w:hAnsi="標楷體"/>
          <w:sz w:val="28"/>
        </w:rPr>
        <w:t>7</w:t>
      </w:r>
      <w:r w:rsidR="006E70A3" w:rsidRPr="00F05BBB">
        <w:rPr>
          <w:rFonts w:ascii="標楷體" w:eastAsia="標楷體" w:hAnsi="標楷體" w:hint="eastAsia"/>
          <w:sz w:val="28"/>
        </w:rPr>
        <w:t>億</w:t>
      </w:r>
      <w:r w:rsidR="006E70A3">
        <w:rPr>
          <w:rFonts w:ascii="標楷體" w:eastAsia="標楷體" w:hAnsi="標楷體" w:hint="eastAsia"/>
          <w:sz w:val="28"/>
        </w:rPr>
        <w:t>餘</w:t>
      </w:r>
      <w:r w:rsidR="006E70A3" w:rsidRPr="00F05BBB">
        <w:rPr>
          <w:rFonts w:ascii="標楷體" w:eastAsia="標楷體" w:hAnsi="標楷體" w:hint="eastAsia"/>
          <w:sz w:val="28"/>
        </w:rPr>
        <w:t>元，尚餘</w:t>
      </w:r>
      <w:r w:rsidR="006E70A3">
        <w:rPr>
          <w:rFonts w:ascii="標楷體" w:eastAsia="標楷體" w:hAnsi="標楷體" w:hint="eastAsia"/>
          <w:sz w:val="28"/>
        </w:rPr>
        <w:t>6</w:t>
      </w:r>
      <w:r w:rsidR="006E70A3">
        <w:rPr>
          <w:rFonts w:ascii="標楷體" w:eastAsia="標楷體" w:hAnsi="標楷體"/>
          <w:sz w:val="28"/>
        </w:rPr>
        <w:t>6</w:t>
      </w:r>
      <w:r w:rsidR="006E70A3" w:rsidRPr="00F05BBB">
        <w:rPr>
          <w:rFonts w:ascii="標楷體" w:eastAsia="標楷體" w:hAnsi="標楷體" w:hint="eastAsia"/>
          <w:sz w:val="28"/>
        </w:rPr>
        <w:t>億</w:t>
      </w:r>
      <w:r w:rsidR="006E70A3">
        <w:rPr>
          <w:rFonts w:ascii="標楷體" w:eastAsia="標楷體" w:hAnsi="標楷體" w:hint="eastAsia"/>
          <w:sz w:val="28"/>
        </w:rPr>
        <w:t>餘</w:t>
      </w:r>
      <w:r w:rsidR="006E70A3" w:rsidRPr="00F05BBB">
        <w:rPr>
          <w:rFonts w:ascii="標楷體" w:eastAsia="標楷體" w:hAnsi="標楷體" w:hint="eastAsia"/>
          <w:sz w:val="28"/>
        </w:rPr>
        <w:t>元。</w:t>
      </w:r>
    </w:p>
    <w:p w:rsidR="000670CA" w:rsidRDefault="000670CA" w:rsidP="000670CA">
      <w:pPr>
        <w:pStyle w:val="7"/>
        <w:ind w:left="1134" w:firstLine="0"/>
        <w:rPr>
          <w:rFonts w:ascii="標楷體" w:eastAsia="標楷體" w:hAnsi="標楷體"/>
          <w:sz w:val="28"/>
        </w:rPr>
      </w:pPr>
    </w:p>
    <w:p w:rsidR="007C6C4E" w:rsidRPr="000670CA" w:rsidRDefault="00D952B8" w:rsidP="000670CA">
      <w:pPr>
        <w:pStyle w:val="7"/>
        <w:ind w:left="0" w:firstLine="0"/>
        <w:jc w:val="left"/>
        <w:rPr>
          <w:rFonts w:ascii="標楷體" w:eastAsia="標楷體" w:hAnsi="標楷體"/>
          <w:sz w:val="28"/>
        </w:rPr>
      </w:pPr>
      <w:r>
        <w:rPr>
          <w:noProof/>
        </w:rPr>
        <w:drawing>
          <wp:inline distT="0" distB="0" distL="0" distR="0" wp14:anchorId="7D982FD2" wp14:editId="46BF8776">
            <wp:extent cx="6120765" cy="5633049"/>
            <wp:effectExtent l="0" t="0" r="13335" b="6350"/>
            <wp:docPr id="10" name="圖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15C06" w:rsidRDefault="00915C06" w:rsidP="00215AF6">
      <w:pPr>
        <w:pStyle w:val="1"/>
        <w:spacing w:before="120"/>
        <w:rPr>
          <w:rFonts w:ascii="標楷體" w:eastAsia="標楷體" w:hAnsi="標楷體"/>
          <w:b/>
          <w:szCs w:val="36"/>
        </w:rPr>
      </w:pPr>
    </w:p>
    <w:p w:rsidR="00FE1DAB" w:rsidRPr="00F05BBB" w:rsidRDefault="00935E80" w:rsidP="00215AF6">
      <w:pPr>
        <w:pStyle w:val="1"/>
        <w:spacing w:before="120"/>
        <w:rPr>
          <w:rFonts w:ascii="標楷體" w:eastAsia="標楷體" w:hAnsi="標楷體"/>
          <w:b/>
          <w:szCs w:val="36"/>
        </w:rPr>
      </w:pPr>
      <w:r>
        <w:rPr>
          <w:rFonts w:ascii="標楷體" w:eastAsia="標楷體" w:hAnsi="標楷體" w:hint="eastAsia"/>
          <w:b/>
          <w:szCs w:val="36"/>
        </w:rPr>
        <w:lastRenderedPageBreak/>
        <w:t>參</w:t>
      </w:r>
      <w:r w:rsidR="00FE1DAB" w:rsidRPr="00F05BBB">
        <w:rPr>
          <w:rFonts w:ascii="標楷體" w:eastAsia="標楷體" w:hAnsi="標楷體" w:hint="eastAsia"/>
          <w:b/>
          <w:szCs w:val="36"/>
        </w:rPr>
        <w:t>、融資調度情形</w:t>
      </w:r>
    </w:p>
    <w:p w:rsidR="00A83C6F" w:rsidRDefault="00267092" w:rsidP="000670CA">
      <w:pPr>
        <w:pStyle w:val="5"/>
        <w:spacing w:line="384" w:lineRule="auto"/>
        <w:ind w:left="0" w:firstLine="567"/>
        <w:rPr>
          <w:rFonts w:ascii="標楷體" w:eastAsia="標楷體" w:hAnsi="標楷體"/>
          <w:sz w:val="28"/>
        </w:rPr>
      </w:pPr>
      <w:r w:rsidRPr="00F05BBB">
        <w:rPr>
          <w:rFonts w:ascii="標楷體" w:eastAsia="標楷體" w:hAnsi="標楷體" w:hint="eastAsia"/>
          <w:sz w:val="28"/>
        </w:rPr>
        <w:t>本年度中央政府總預算歲入歲出</w:t>
      </w:r>
      <w:r w:rsidR="00742E30" w:rsidRPr="00742E30">
        <w:rPr>
          <w:rFonts w:ascii="標楷體" w:eastAsia="標楷體" w:hAnsi="標楷體" w:hint="eastAsia"/>
          <w:sz w:val="28"/>
          <w:lang w:eastAsia="zh-HK"/>
        </w:rPr>
        <w:t>賸餘</w:t>
      </w:r>
      <w:r w:rsidR="00EC0098">
        <w:rPr>
          <w:rFonts w:ascii="標楷體" w:eastAsia="標楷體" w:hAnsi="標楷體" w:hint="eastAsia"/>
          <w:sz w:val="28"/>
        </w:rPr>
        <w:t>294</w:t>
      </w:r>
      <w:r w:rsidRPr="00F05BBB">
        <w:rPr>
          <w:rFonts w:ascii="標楷體" w:eastAsia="標楷體" w:hAnsi="標楷體" w:hint="eastAsia"/>
          <w:sz w:val="28"/>
        </w:rPr>
        <w:t>億</w:t>
      </w:r>
      <w:r w:rsidR="00D573E8">
        <w:rPr>
          <w:rFonts w:ascii="標楷體" w:eastAsia="標楷體" w:hAnsi="標楷體" w:hint="eastAsia"/>
          <w:sz w:val="28"/>
        </w:rPr>
        <w:t>餘</w:t>
      </w:r>
      <w:r w:rsidRPr="00F05BBB">
        <w:rPr>
          <w:rFonts w:ascii="標楷體" w:eastAsia="標楷體" w:hAnsi="標楷體" w:hint="eastAsia"/>
          <w:sz w:val="28"/>
        </w:rPr>
        <w:t>元，</w:t>
      </w:r>
      <w:r w:rsidR="00A80FD3" w:rsidRPr="00A80FD3">
        <w:rPr>
          <w:rFonts w:ascii="標楷體" w:eastAsia="標楷體" w:hAnsi="標楷體" w:hint="eastAsia"/>
          <w:sz w:val="28"/>
        </w:rPr>
        <w:t>另</w:t>
      </w:r>
      <w:r w:rsidRPr="00F05BBB">
        <w:rPr>
          <w:rFonts w:ascii="標楷體" w:eastAsia="標楷體" w:hAnsi="標楷體" w:hint="eastAsia"/>
          <w:sz w:val="28"/>
        </w:rPr>
        <w:t>債務還本</w:t>
      </w:r>
      <w:r w:rsidR="00A05D5E">
        <w:rPr>
          <w:rFonts w:ascii="標楷體" w:eastAsia="標楷體" w:hAnsi="標楷體" w:hint="eastAsia"/>
          <w:sz w:val="28"/>
        </w:rPr>
        <w:t>8</w:t>
      </w:r>
      <w:r w:rsidR="00A80FD3">
        <w:rPr>
          <w:rFonts w:ascii="標楷體" w:eastAsia="標楷體" w:hAnsi="標楷體" w:hint="eastAsia"/>
          <w:sz w:val="28"/>
        </w:rPr>
        <w:t>50</w:t>
      </w:r>
      <w:r w:rsidRPr="00F05BBB">
        <w:rPr>
          <w:rFonts w:ascii="標楷體" w:eastAsia="標楷體" w:hAnsi="標楷體" w:hint="eastAsia"/>
          <w:sz w:val="28"/>
        </w:rPr>
        <w:t>億元</w:t>
      </w:r>
      <w:r w:rsidR="00DF3C7B" w:rsidRPr="00F05BBB">
        <w:rPr>
          <w:rFonts w:ascii="標楷體" w:eastAsia="標楷體" w:hAnsi="標楷體" w:hint="eastAsia"/>
          <w:sz w:val="28"/>
        </w:rPr>
        <w:t>，</w:t>
      </w:r>
      <w:r w:rsidR="00A80FD3" w:rsidRPr="00A80FD3">
        <w:rPr>
          <w:rFonts w:ascii="標楷體" w:eastAsia="標楷體" w:hAnsi="標楷體" w:hint="eastAsia"/>
          <w:sz w:val="28"/>
        </w:rPr>
        <w:t>以前述賸餘294億</w:t>
      </w:r>
      <w:r w:rsidR="00A80FD3">
        <w:rPr>
          <w:rFonts w:ascii="標楷體" w:eastAsia="標楷體" w:hAnsi="標楷體" w:hint="eastAsia"/>
          <w:sz w:val="28"/>
        </w:rPr>
        <w:t>餘</w:t>
      </w:r>
      <w:r w:rsidR="00A80FD3" w:rsidRPr="00F05BBB">
        <w:rPr>
          <w:rFonts w:ascii="標楷體" w:eastAsia="標楷體" w:hAnsi="標楷體" w:hint="eastAsia"/>
          <w:sz w:val="28"/>
        </w:rPr>
        <w:t>元</w:t>
      </w:r>
      <w:r w:rsidR="00A80FD3" w:rsidRPr="00A80FD3">
        <w:rPr>
          <w:rFonts w:ascii="標楷體" w:eastAsia="標楷體" w:hAnsi="標楷體" w:hint="eastAsia"/>
          <w:sz w:val="28"/>
        </w:rPr>
        <w:t>支應後，尚</w:t>
      </w:r>
      <w:r w:rsidR="00567636">
        <w:rPr>
          <w:rFonts w:ascii="標楷體" w:eastAsia="標楷體" w:hAnsi="標楷體" w:hint="eastAsia"/>
          <w:sz w:val="28"/>
          <w:lang w:eastAsia="zh-HK"/>
        </w:rPr>
        <w:t>須</w:t>
      </w:r>
      <w:r w:rsidR="00A80FD3" w:rsidRPr="00A80FD3">
        <w:rPr>
          <w:rFonts w:ascii="標楷體" w:eastAsia="標楷體" w:hAnsi="標楷體" w:hint="eastAsia"/>
          <w:sz w:val="28"/>
        </w:rPr>
        <w:t>融資調度55</w:t>
      </w:r>
      <w:r w:rsidR="00A80FD3">
        <w:rPr>
          <w:rFonts w:ascii="標楷體" w:eastAsia="標楷體" w:hAnsi="標楷體" w:hint="eastAsia"/>
          <w:sz w:val="28"/>
        </w:rPr>
        <w:t>5</w:t>
      </w:r>
      <w:r w:rsidR="00A80FD3" w:rsidRPr="00A80FD3">
        <w:rPr>
          <w:rFonts w:ascii="標楷體" w:eastAsia="標楷體" w:hAnsi="標楷體" w:hint="eastAsia"/>
          <w:sz w:val="28"/>
        </w:rPr>
        <w:t>億</w:t>
      </w:r>
      <w:r w:rsidR="00D573E8">
        <w:rPr>
          <w:rFonts w:ascii="標楷體" w:eastAsia="標楷體" w:hAnsi="標楷體" w:hint="eastAsia"/>
          <w:sz w:val="28"/>
        </w:rPr>
        <w:t>餘</w:t>
      </w:r>
      <w:r w:rsidR="00DF3C7B" w:rsidRPr="00F05BBB">
        <w:rPr>
          <w:rFonts w:ascii="標楷體" w:eastAsia="標楷體" w:hAnsi="標楷體" w:hint="eastAsia"/>
          <w:sz w:val="28"/>
        </w:rPr>
        <w:t>元，預計以</w:t>
      </w:r>
      <w:r w:rsidR="00BE3AA4">
        <w:rPr>
          <w:rFonts w:ascii="標楷體" w:eastAsia="標楷體" w:hAnsi="標楷體" w:hint="eastAsia"/>
          <w:sz w:val="28"/>
        </w:rPr>
        <w:t>舉</w:t>
      </w:r>
      <w:r w:rsidR="00BE3AA4">
        <w:rPr>
          <w:rFonts w:ascii="標楷體" w:eastAsia="標楷體" w:hAnsi="標楷體"/>
          <w:sz w:val="28"/>
        </w:rPr>
        <w:t>借債務</w:t>
      </w:r>
      <w:r w:rsidR="00DF3C7B" w:rsidRPr="00F05BBB">
        <w:rPr>
          <w:rFonts w:ascii="標楷體" w:eastAsia="標楷體" w:hAnsi="標楷體" w:hint="eastAsia"/>
          <w:sz w:val="28"/>
        </w:rPr>
        <w:t>予以彌平</w:t>
      </w:r>
      <w:r w:rsidR="0096052C" w:rsidRPr="00F05BBB">
        <w:rPr>
          <w:rFonts w:ascii="標楷體" w:eastAsia="標楷體" w:hAnsi="標楷體" w:hint="eastAsia"/>
          <w:sz w:val="28"/>
        </w:rPr>
        <w:t>。</w:t>
      </w:r>
      <w:r w:rsidR="00DF3C7B" w:rsidRPr="00F05BBB">
        <w:rPr>
          <w:rFonts w:ascii="標楷體" w:eastAsia="標楷體" w:hAnsi="標楷體" w:hint="eastAsia"/>
          <w:sz w:val="28"/>
        </w:rPr>
        <w:t>截至6月底</w:t>
      </w:r>
      <w:proofErr w:type="gramStart"/>
      <w:r w:rsidR="00DF3C7B" w:rsidRPr="00F05BBB">
        <w:rPr>
          <w:rFonts w:ascii="標楷體" w:eastAsia="標楷體" w:hAnsi="標楷體" w:hint="eastAsia"/>
          <w:sz w:val="28"/>
        </w:rPr>
        <w:t>止</w:t>
      </w:r>
      <w:proofErr w:type="gramEnd"/>
      <w:r w:rsidR="00941047" w:rsidRPr="00F05BBB">
        <w:rPr>
          <w:rFonts w:ascii="標楷體" w:eastAsia="標楷體" w:hAnsi="標楷體" w:hint="eastAsia"/>
          <w:sz w:val="28"/>
        </w:rPr>
        <w:t>債務</w:t>
      </w:r>
      <w:bookmarkStart w:id="0" w:name="_GoBack"/>
      <w:bookmarkEnd w:id="0"/>
      <w:r w:rsidR="00BB0E98">
        <w:rPr>
          <w:rFonts w:ascii="標楷體" w:eastAsia="標楷體" w:hAnsi="標楷體" w:hint="eastAsia"/>
          <w:sz w:val="28"/>
        </w:rPr>
        <w:t>已</w:t>
      </w:r>
      <w:r w:rsidR="00941047" w:rsidRPr="00F05BBB">
        <w:rPr>
          <w:rFonts w:ascii="標楷體" w:eastAsia="標楷體" w:hAnsi="標楷體" w:hint="eastAsia"/>
          <w:sz w:val="28"/>
        </w:rPr>
        <w:t>還本</w:t>
      </w:r>
      <w:r w:rsidR="00EC0098">
        <w:rPr>
          <w:rFonts w:ascii="標楷體" w:eastAsia="標楷體" w:hAnsi="標楷體" w:hint="eastAsia"/>
          <w:sz w:val="28"/>
        </w:rPr>
        <w:t>550</w:t>
      </w:r>
      <w:r w:rsidR="00941047" w:rsidRPr="00F05BBB">
        <w:rPr>
          <w:rFonts w:ascii="標楷體" w:eastAsia="標楷體" w:hAnsi="標楷體" w:hint="eastAsia"/>
          <w:sz w:val="28"/>
        </w:rPr>
        <w:t>億</w:t>
      </w:r>
      <w:r w:rsidR="00E71C37">
        <w:rPr>
          <w:rFonts w:ascii="標楷體" w:eastAsia="標楷體" w:hAnsi="標楷體" w:hint="eastAsia"/>
          <w:sz w:val="28"/>
          <w:lang w:eastAsia="zh-HK"/>
        </w:rPr>
        <w:t>元</w:t>
      </w:r>
      <w:r w:rsidR="00FE2845" w:rsidRPr="00F05BBB">
        <w:rPr>
          <w:rFonts w:ascii="標楷體" w:eastAsia="標楷體" w:hAnsi="標楷體" w:hint="eastAsia"/>
          <w:sz w:val="28"/>
        </w:rPr>
        <w:t>，</w:t>
      </w:r>
      <w:r w:rsidR="0097286C">
        <w:rPr>
          <w:rFonts w:ascii="標楷體" w:eastAsia="標楷體" w:hAnsi="標楷體" w:hint="eastAsia"/>
          <w:sz w:val="28"/>
          <w:lang w:eastAsia="zh-HK"/>
        </w:rPr>
        <w:t>尚</w:t>
      </w:r>
      <w:r w:rsidR="00E25ACC">
        <w:rPr>
          <w:rFonts w:ascii="標楷體" w:eastAsia="標楷體" w:hAnsi="標楷體" w:hint="eastAsia"/>
          <w:sz w:val="28"/>
          <w:lang w:eastAsia="zh-HK"/>
        </w:rPr>
        <w:t>無</w:t>
      </w:r>
      <w:r w:rsidR="00E25ACC">
        <w:rPr>
          <w:rFonts w:ascii="標楷體" w:eastAsia="標楷體" w:hAnsi="標楷體" w:hint="eastAsia"/>
          <w:sz w:val="28"/>
        </w:rPr>
        <w:t>債</w:t>
      </w:r>
      <w:r w:rsidR="00E25ACC">
        <w:rPr>
          <w:rFonts w:ascii="標楷體" w:eastAsia="標楷體" w:hAnsi="標楷體"/>
          <w:sz w:val="28"/>
        </w:rPr>
        <w:t>務</w:t>
      </w:r>
      <w:r w:rsidR="00E25ACC">
        <w:rPr>
          <w:rFonts w:ascii="標楷體" w:eastAsia="標楷體" w:hAnsi="標楷體" w:hint="eastAsia"/>
          <w:sz w:val="28"/>
        </w:rPr>
        <w:t>舉</w:t>
      </w:r>
      <w:r w:rsidR="00E25ACC" w:rsidRPr="00F05BBB">
        <w:rPr>
          <w:rFonts w:ascii="標楷體" w:eastAsia="標楷體" w:hAnsi="標楷體" w:hint="eastAsia"/>
          <w:sz w:val="28"/>
        </w:rPr>
        <w:t>借</w:t>
      </w:r>
      <w:r w:rsidR="00DF3C7B" w:rsidRPr="00F05BBB">
        <w:rPr>
          <w:rFonts w:ascii="標楷體" w:eastAsia="標楷體" w:hAnsi="標楷體" w:hint="eastAsia"/>
          <w:sz w:val="28"/>
        </w:rPr>
        <w:t>。</w:t>
      </w:r>
    </w:p>
    <w:p w:rsidR="00FE1DAB" w:rsidRDefault="00FE1DAB" w:rsidP="00B24182">
      <w:pPr>
        <w:pStyle w:val="1"/>
        <w:spacing w:before="120"/>
        <w:rPr>
          <w:rFonts w:eastAsia="標楷體"/>
          <w:b/>
          <w:szCs w:val="36"/>
        </w:rPr>
      </w:pPr>
      <w:r w:rsidRPr="00B24182">
        <w:rPr>
          <w:rFonts w:eastAsia="標楷體" w:hint="eastAsia"/>
          <w:b/>
          <w:szCs w:val="36"/>
        </w:rPr>
        <w:t>肆、其他</w:t>
      </w:r>
      <w:r w:rsidR="002C3817">
        <w:rPr>
          <w:rFonts w:eastAsia="標楷體" w:hint="eastAsia"/>
          <w:b/>
          <w:szCs w:val="36"/>
        </w:rPr>
        <w:t>重要說</w:t>
      </w:r>
      <w:r w:rsidR="002C3817">
        <w:rPr>
          <w:rFonts w:eastAsia="標楷體"/>
          <w:b/>
          <w:szCs w:val="36"/>
        </w:rPr>
        <w:t>明</w:t>
      </w:r>
    </w:p>
    <w:p w:rsidR="007C5172" w:rsidRDefault="00FE1DAB" w:rsidP="007C5172">
      <w:pPr>
        <w:pStyle w:val="7"/>
        <w:numPr>
          <w:ilvl w:val="0"/>
          <w:numId w:val="16"/>
        </w:numPr>
        <w:spacing w:line="384" w:lineRule="auto"/>
        <w:rPr>
          <w:rFonts w:ascii="標楷體" w:eastAsia="標楷體" w:hAnsi="標楷體"/>
          <w:sz w:val="28"/>
        </w:rPr>
      </w:pPr>
      <w:r w:rsidRPr="007C5172">
        <w:rPr>
          <w:rFonts w:ascii="標楷體" w:eastAsia="標楷體" w:hAnsi="標楷體" w:hint="eastAsia"/>
          <w:sz w:val="28"/>
        </w:rPr>
        <w:t>依決算法第</w:t>
      </w:r>
      <w:r w:rsidR="007E04FA" w:rsidRPr="007C5172">
        <w:rPr>
          <w:rFonts w:ascii="標楷體" w:eastAsia="標楷體" w:hAnsi="標楷體" w:hint="eastAsia"/>
          <w:sz w:val="28"/>
        </w:rPr>
        <w:t>26</w:t>
      </w:r>
      <w:r w:rsidRPr="007C5172">
        <w:rPr>
          <w:rFonts w:ascii="標楷體" w:eastAsia="標楷體" w:hAnsi="標楷體" w:hint="eastAsia"/>
          <w:sz w:val="28"/>
        </w:rPr>
        <w:t>條之</w:t>
      </w:r>
      <w:r w:rsidR="007E04FA" w:rsidRPr="007C5172">
        <w:rPr>
          <w:rFonts w:ascii="標楷體" w:eastAsia="標楷體" w:hAnsi="標楷體" w:hint="eastAsia"/>
          <w:sz w:val="28"/>
        </w:rPr>
        <w:t>1</w:t>
      </w:r>
      <w:r w:rsidRPr="007C5172">
        <w:rPr>
          <w:rFonts w:ascii="標楷體" w:eastAsia="標楷體" w:hAnsi="標楷體" w:hint="eastAsia"/>
          <w:sz w:val="28"/>
        </w:rPr>
        <w:t>規定：「審計長應於會計年度中將政府之半年結算報告，於政府提出後一個月內完成其查核，並提出查核報告於立法院。」為利審查作業之需，本年度中央政府總預算半年結算報告循例由行政院主計</w:t>
      </w:r>
      <w:r w:rsidR="00E61E29" w:rsidRPr="007C5172">
        <w:rPr>
          <w:rFonts w:ascii="標楷體" w:eastAsia="標楷體" w:hAnsi="標楷體" w:hint="eastAsia"/>
          <w:sz w:val="28"/>
        </w:rPr>
        <w:t>總</w:t>
      </w:r>
      <w:r w:rsidRPr="007C5172">
        <w:rPr>
          <w:rFonts w:ascii="標楷體" w:eastAsia="標楷體" w:hAnsi="標楷體" w:hint="eastAsia"/>
          <w:sz w:val="28"/>
        </w:rPr>
        <w:t>處彙編完成後函送審計部。</w:t>
      </w:r>
    </w:p>
    <w:p w:rsidR="007C5172" w:rsidRPr="007C5172" w:rsidRDefault="007C5172" w:rsidP="007C5172">
      <w:pPr>
        <w:pStyle w:val="7"/>
        <w:numPr>
          <w:ilvl w:val="0"/>
          <w:numId w:val="16"/>
        </w:numPr>
        <w:spacing w:line="384" w:lineRule="auto"/>
        <w:rPr>
          <w:rFonts w:ascii="標楷體" w:eastAsia="標楷體" w:hAnsi="標楷體"/>
          <w:sz w:val="28"/>
        </w:rPr>
      </w:pPr>
      <w:r w:rsidRPr="007C5172">
        <w:rPr>
          <w:rFonts w:ascii="標楷體" w:eastAsia="標楷體" w:hAnsi="標楷體" w:hint="eastAsia"/>
          <w:sz w:val="28"/>
          <w:szCs w:val="28"/>
        </w:rPr>
        <w:t>中央政府前瞻</w:t>
      </w:r>
      <w:r w:rsidRPr="007C5172">
        <w:rPr>
          <w:rFonts w:ascii="標楷體" w:eastAsia="標楷體" w:hAnsi="標楷體"/>
          <w:sz w:val="28"/>
          <w:szCs w:val="28"/>
        </w:rPr>
        <w:t>基</w:t>
      </w:r>
      <w:r w:rsidRPr="007C5172">
        <w:rPr>
          <w:rFonts w:ascii="標楷體" w:eastAsia="標楷體" w:hAnsi="標楷體" w:hint="eastAsia"/>
          <w:sz w:val="28"/>
          <w:szCs w:val="28"/>
        </w:rPr>
        <w:t>礎</w:t>
      </w:r>
      <w:r w:rsidRPr="007C5172">
        <w:rPr>
          <w:rFonts w:ascii="標楷體" w:eastAsia="標楷體" w:hAnsi="標楷體"/>
          <w:sz w:val="28"/>
          <w:szCs w:val="28"/>
        </w:rPr>
        <w:t>建設</w:t>
      </w:r>
      <w:r w:rsidRPr="007C5172">
        <w:rPr>
          <w:rFonts w:ascii="標楷體" w:eastAsia="標楷體" w:hAnsi="標楷體" w:hint="eastAsia"/>
          <w:sz w:val="28"/>
          <w:szCs w:val="28"/>
        </w:rPr>
        <w:t>計畫第2期特別預算（108至109年度）、中央政府新式戰機採購特別預算</w:t>
      </w:r>
      <w:r w:rsidRPr="007C5172">
        <w:rPr>
          <w:rFonts w:ascii="標楷體" w:eastAsia="標楷體" w:hAnsi="標楷體"/>
          <w:sz w:val="28"/>
          <w:szCs w:val="28"/>
        </w:rPr>
        <w:t>(109</w:t>
      </w:r>
      <w:r w:rsidRPr="007C5172">
        <w:rPr>
          <w:rFonts w:ascii="標楷體" w:eastAsia="標楷體" w:hAnsi="標楷體" w:hint="eastAsia"/>
          <w:sz w:val="28"/>
          <w:szCs w:val="28"/>
        </w:rPr>
        <w:t>至</w:t>
      </w:r>
      <w:r w:rsidRPr="007C5172">
        <w:rPr>
          <w:rFonts w:ascii="標楷體" w:eastAsia="標楷體" w:hAnsi="標楷體"/>
          <w:sz w:val="28"/>
          <w:szCs w:val="28"/>
        </w:rPr>
        <w:t>115</w:t>
      </w:r>
      <w:r w:rsidRPr="007C5172">
        <w:rPr>
          <w:rFonts w:ascii="標楷體" w:eastAsia="標楷體" w:hAnsi="標楷體" w:hint="eastAsia"/>
          <w:sz w:val="28"/>
          <w:szCs w:val="28"/>
        </w:rPr>
        <w:t>年度</w:t>
      </w:r>
      <w:r w:rsidRPr="007C5172">
        <w:rPr>
          <w:rFonts w:ascii="標楷體" w:eastAsia="標楷體" w:hAnsi="標楷體"/>
          <w:sz w:val="28"/>
          <w:szCs w:val="28"/>
        </w:rPr>
        <w:t>)</w:t>
      </w:r>
      <w:r w:rsidRPr="007C5172">
        <w:rPr>
          <w:rFonts w:ascii="標楷體" w:eastAsia="標楷體" w:hAnsi="標楷體" w:hint="eastAsia"/>
          <w:sz w:val="28"/>
          <w:szCs w:val="28"/>
          <w:lang w:eastAsia="zh-HK"/>
        </w:rPr>
        <w:t>及</w:t>
      </w:r>
      <w:r w:rsidRPr="007C5172">
        <w:rPr>
          <w:rFonts w:ascii="標楷體" w:eastAsia="標楷體" w:hAnsi="標楷體" w:hint="eastAsia"/>
          <w:sz w:val="28"/>
          <w:szCs w:val="28"/>
        </w:rPr>
        <w:t>中央政府嚴重特殊傳染性肺炎防治及紓困振興特別預算（109至110年度），因尚未執行</w:t>
      </w:r>
      <w:r w:rsidRPr="007C5172">
        <w:rPr>
          <w:rFonts w:ascii="標楷體" w:eastAsia="標楷體" w:hAnsi="標楷體" w:hint="eastAsia"/>
          <w:sz w:val="28"/>
        </w:rPr>
        <w:t>期滿</w:t>
      </w:r>
      <w:r w:rsidRPr="007C5172">
        <w:rPr>
          <w:rFonts w:ascii="標楷體" w:eastAsia="標楷體" w:hAnsi="標楷體" w:hint="eastAsia"/>
          <w:sz w:val="28"/>
          <w:szCs w:val="28"/>
        </w:rPr>
        <w:t>，經依據其執行情形，編造該特別預算半年結算報告附入本年度中央政府總預算半年結算報告。</w:t>
      </w:r>
      <w:r w:rsidRPr="007C5172">
        <w:rPr>
          <w:rFonts w:ascii="標楷體" w:eastAsia="標楷體" w:hAnsi="標楷體" w:hint="eastAsia"/>
          <w:sz w:val="28"/>
        </w:rPr>
        <w:t>茲</w:t>
      </w:r>
      <w:r w:rsidR="008044CD">
        <w:rPr>
          <w:rFonts w:ascii="標楷體" w:eastAsia="標楷體" w:hAnsi="標楷體" w:hint="eastAsia"/>
          <w:sz w:val="28"/>
          <w:lang w:eastAsia="zh-HK"/>
        </w:rPr>
        <w:t>就</w:t>
      </w:r>
      <w:r w:rsidRPr="007C5172">
        <w:rPr>
          <w:rFonts w:ascii="標楷體" w:eastAsia="標楷體" w:hAnsi="標楷體" w:hint="eastAsia"/>
          <w:sz w:val="28"/>
          <w:lang w:eastAsia="zh-HK"/>
        </w:rPr>
        <w:t>各特別預算歲出</w:t>
      </w:r>
      <w:r w:rsidRPr="007C5172">
        <w:rPr>
          <w:rFonts w:ascii="標楷體" w:eastAsia="標楷體" w:hAnsi="標楷體" w:hint="eastAsia"/>
          <w:sz w:val="28"/>
        </w:rPr>
        <w:t>執行情形分述如下：</w:t>
      </w:r>
    </w:p>
    <w:p w:rsidR="007C5172" w:rsidRDefault="007C5172" w:rsidP="007C5172">
      <w:pPr>
        <w:pStyle w:val="7"/>
        <w:numPr>
          <w:ilvl w:val="0"/>
          <w:numId w:val="17"/>
        </w:numPr>
        <w:spacing w:line="384" w:lineRule="auto"/>
        <w:rPr>
          <w:rFonts w:ascii="標楷體" w:eastAsia="標楷體" w:hAnsi="標楷體"/>
          <w:sz w:val="28"/>
        </w:rPr>
      </w:pPr>
      <w:r w:rsidRPr="00F05BBB">
        <w:rPr>
          <w:rFonts w:ascii="標楷體" w:eastAsia="標楷體" w:hAnsi="標楷體" w:hint="eastAsia"/>
          <w:sz w:val="28"/>
          <w:szCs w:val="28"/>
        </w:rPr>
        <w:t>中央政府</w:t>
      </w:r>
      <w:r>
        <w:rPr>
          <w:rFonts w:ascii="標楷體" w:eastAsia="標楷體" w:hAnsi="標楷體" w:hint="eastAsia"/>
          <w:sz w:val="28"/>
          <w:szCs w:val="28"/>
        </w:rPr>
        <w:t>前瞻</w:t>
      </w:r>
      <w:r>
        <w:rPr>
          <w:rFonts w:ascii="標楷體" w:eastAsia="標楷體" w:hAnsi="標楷體"/>
          <w:sz w:val="28"/>
          <w:szCs w:val="28"/>
        </w:rPr>
        <w:t>基</w:t>
      </w:r>
      <w:r>
        <w:rPr>
          <w:rFonts w:ascii="標楷體" w:eastAsia="標楷體" w:hAnsi="標楷體" w:hint="eastAsia"/>
          <w:sz w:val="28"/>
          <w:szCs w:val="28"/>
        </w:rPr>
        <w:t>礎</w:t>
      </w:r>
      <w:r>
        <w:rPr>
          <w:rFonts w:ascii="標楷體" w:eastAsia="標楷體" w:hAnsi="標楷體"/>
          <w:sz w:val="28"/>
          <w:szCs w:val="28"/>
        </w:rPr>
        <w:t>建設</w:t>
      </w:r>
      <w:r w:rsidRPr="00F05BBB">
        <w:rPr>
          <w:rFonts w:ascii="標楷體" w:eastAsia="標楷體" w:hAnsi="標楷體" w:hint="eastAsia"/>
          <w:sz w:val="28"/>
          <w:szCs w:val="28"/>
        </w:rPr>
        <w:t>計畫第</w:t>
      </w:r>
      <w:r>
        <w:rPr>
          <w:rFonts w:ascii="標楷體" w:eastAsia="標楷體" w:hAnsi="標楷體" w:hint="eastAsia"/>
          <w:sz w:val="28"/>
          <w:szCs w:val="28"/>
        </w:rPr>
        <w:t>2</w:t>
      </w:r>
      <w:r w:rsidRPr="00F05BBB">
        <w:rPr>
          <w:rFonts w:ascii="標楷體" w:eastAsia="標楷體" w:hAnsi="標楷體" w:hint="eastAsia"/>
          <w:sz w:val="28"/>
          <w:szCs w:val="28"/>
        </w:rPr>
        <w:t>期特別預算</w:t>
      </w:r>
      <w:r w:rsidRPr="00F05BBB">
        <w:rPr>
          <w:rFonts w:ascii="標楷體" w:eastAsia="標楷體" w:hAnsi="標楷體" w:hint="eastAsia"/>
          <w:sz w:val="28"/>
        </w:rPr>
        <w:t>：</w:t>
      </w:r>
      <w:r>
        <w:rPr>
          <w:rFonts w:ascii="標楷體" w:eastAsia="標楷體" w:hAnsi="標楷體" w:hint="eastAsia"/>
          <w:sz w:val="28"/>
          <w:lang w:eastAsia="zh-HK"/>
        </w:rPr>
        <w:t>歲出</w:t>
      </w:r>
      <w:r w:rsidRPr="00F05BBB">
        <w:rPr>
          <w:rFonts w:ascii="標楷體" w:eastAsia="標楷體" w:hAnsi="標楷體" w:hint="eastAsia"/>
          <w:sz w:val="28"/>
        </w:rPr>
        <w:t>預算數</w:t>
      </w:r>
      <w:r>
        <w:rPr>
          <w:rFonts w:ascii="標楷體" w:eastAsia="標楷體" w:hAnsi="標楷體" w:hint="eastAsia"/>
          <w:sz w:val="28"/>
        </w:rPr>
        <w:t>2,229</w:t>
      </w:r>
      <w:r w:rsidRPr="00F05BBB">
        <w:rPr>
          <w:rFonts w:ascii="標楷體" w:eastAsia="標楷體" w:hAnsi="標楷體" w:hint="eastAsia"/>
          <w:sz w:val="28"/>
        </w:rPr>
        <w:t>億</w:t>
      </w:r>
      <w:r>
        <w:rPr>
          <w:rFonts w:ascii="標楷體" w:eastAsia="標楷體" w:hAnsi="標楷體" w:hint="eastAsia"/>
          <w:sz w:val="28"/>
        </w:rPr>
        <w:t>餘</w:t>
      </w:r>
      <w:r w:rsidRPr="00F05BBB">
        <w:rPr>
          <w:rFonts w:ascii="標楷體" w:eastAsia="標楷體" w:hAnsi="標楷體" w:hint="eastAsia"/>
          <w:sz w:val="28"/>
        </w:rPr>
        <w:t>元，截至6月底</w:t>
      </w:r>
      <w:proofErr w:type="gramStart"/>
      <w:r w:rsidRPr="00F05BBB">
        <w:rPr>
          <w:rFonts w:ascii="標楷體" w:eastAsia="標楷體" w:hAnsi="標楷體" w:hint="eastAsia"/>
          <w:sz w:val="28"/>
        </w:rPr>
        <w:t>止</w:t>
      </w:r>
      <w:proofErr w:type="gramEnd"/>
      <w:r>
        <w:rPr>
          <w:rFonts w:ascii="標楷體" w:eastAsia="標楷體" w:hAnsi="標楷體" w:hint="eastAsia"/>
          <w:sz w:val="28"/>
          <w:lang w:eastAsia="zh-HK"/>
        </w:rPr>
        <w:t>累計</w:t>
      </w:r>
      <w:r w:rsidRPr="00F05BBB">
        <w:rPr>
          <w:rFonts w:ascii="標楷體" w:eastAsia="標楷體" w:hAnsi="標楷體" w:hint="eastAsia"/>
          <w:sz w:val="28"/>
        </w:rPr>
        <w:t>執行數</w:t>
      </w:r>
      <w:r>
        <w:rPr>
          <w:rFonts w:ascii="標楷體" w:eastAsia="標楷體" w:hAnsi="標楷體" w:hint="eastAsia"/>
          <w:sz w:val="28"/>
        </w:rPr>
        <w:t>（</w:t>
      </w:r>
      <w:r w:rsidRPr="0085102E">
        <w:rPr>
          <w:rFonts w:ascii="標楷體" w:eastAsia="標楷體" w:hAnsi="標楷體" w:hint="eastAsia"/>
          <w:sz w:val="28"/>
        </w:rPr>
        <w:t>含實現數及預付數，以下同</w:t>
      </w:r>
      <w:r>
        <w:rPr>
          <w:rFonts w:ascii="標楷體" w:eastAsia="標楷體" w:hAnsi="標楷體" w:hint="eastAsia"/>
          <w:sz w:val="28"/>
        </w:rPr>
        <w:t>）1,249億餘</w:t>
      </w:r>
      <w:r w:rsidRPr="00F05BBB">
        <w:rPr>
          <w:rFonts w:ascii="標楷體" w:eastAsia="標楷體" w:hAnsi="標楷體" w:hint="eastAsia"/>
          <w:sz w:val="28"/>
        </w:rPr>
        <w:t>元，占</w:t>
      </w:r>
      <w:r>
        <w:rPr>
          <w:rFonts w:ascii="標楷體" w:eastAsia="標楷體" w:hAnsi="標楷體" w:hint="eastAsia"/>
          <w:sz w:val="28"/>
          <w:lang w:eastAsia="zh-HK"/>
        </w:rPr>
        <w:t>累計</w:t>
      </w:r>
      <w:r w:rsidRPr="00F05BBB">
        <w:rPr>
          <w:rFonts w:ascii="標楷體" w:eastAsia="標楷體" w:hAnsi="標楷體" w:hint="eastAsia"/>
          <w:sz w:val="28"/>
        </w:rPr>
        <w:t>分配數</w:t>
      </w:r>
      <w:r>
        <w:rPr>
          <w:rFonts w:ascii="標楷體" w:eastAsia="標楷體" w:hAnsi="標楷體" w:hint="eastAsia"/>
          <w:sz w:val="28"/>
        </w:rPr>
        <w:t>1,459</w:t>
      </w:r>
      <w:r w:rsidRPr="00F05BBB">
        <w:rPr>
          <w:rFonts w:ascii="標楷體" w:eastAsia="標楷體" w:hAnsi="標楷體" w:hint="eastAsia"/>
          <w:sz w:val="28"/>
        </w:rPr>
        <w:t>億</w:t>
      </w:r>
      <w:r>
        <w:rPr>
          <w:rFonts w:ascii="標楷體" w:eastAsia="標楷體" w:hAnsi="標楷體" w:hint="eastAsia"/>
          <w:sz w:val="28"/>
        </w:rPr>
        <w:t>餘</w:t>
      </w:r>
      <w:r w:rsidRPr="00F05BBB">
        <w:rPr>
          <w:rFonts w:ascii="標楷體" w:eastAsia="標楷體" w:hAnsi="標楷體" w:hint="eastAsia"/>
          <w:sz w:val="28"/>
        </w:rPr>
        <w:t>元之</w:t>
      </w:r>
      <w:r>
        <w:rPr>
          <w:rFonts w:ascii="標楷體" w:eastAsia="標楷體" w:hAnsi="標楷體"/>
          <w:sz w:val="28"/>
        </w:rPr>
        <w:t>8</w:t>
      </w:r>
      <w:r>
        <w:rPr>
          <w:rFonts w:ascii="標楷體" w:eastAsia="標楷體" w:hAnsi="標楷體" w:hint="eastAsia"/>
          <w:sz w:val="28"/>
        </w:rPr>
        <w:t>5.6</w:t>
      </w:r>
      <w:r w:rsidRPr="00F05BBB">
        <w:rPr>
          <w:rFonts w:ascii="標楷體" w:eastAsia="標楷體" w:hAnsi="標楷體" w:hint="eastAsia"/>
          <w:sz w:val="28"/>
        </w:rPr>
        <w:t>％。</w:t>
      </w:r>
    </w:p>
    <w:p w:rsidR="007C5172" w:rsidRDefault="007C5172" w:rsidP="007C5172">
      <w:pPr>
        <w:pStyle w:val="7"/>
        <w:numPr>
          <w:ilvl w:val="0"/>
          <w:numId w:val="17"/>
        </w:numPr>
        <w:spacing w:line="384" w:lineRule="auto"/>
        <w:rPr>
          <w:rFonts w:ascii="標楷體" w:eastAsia="標楷體" w:hAnsi="標楷體"/>
          <w:sz w:val="28"/>
        </w:rPr>
      </w:pPr>
      <w:r w:rsidRPr="007C5172">
        <w:rPr>
          <w:rFonts w:ascii="標楷體" w:eastAsia="標楷體" w:hAnsi="標楷體" w:hint="eastAsia"/>
          <w:sz w:val="28"/>
          <w:szCs w:val="28"/>
        </w:rPr>
        <w:t>中央政府新式戰機採購特別預算</w:t>
      </w:r>
      <w:r w:rsidRPr="007C5172">
        <w:rPr>
          <w:rFonts w:ascii="標楷體" w:eastAsia="標楷體" w:hAnsi="標楷體" w:hint="eastAsia"/>
          <w:sz w:val="28"/>
        </w:rPr>
        <w:t>：</w:t>
      </w:r>
      <w:r w:rsidRPr="007C5172">
        <w:rPr>
          <w:rFonts w:ascii="標楷體" w:eastAsia="標楷體" w:hAnsi="標楷體" w:hint="eastAsia"/>
          <w:sz w:val="28"/>
          <w:lang w:eastAsia="zh-HK"/>
        </w:rPr>
        <w:t>歲出</w:t>
      </w:r>
      <w:r w:rsidRPr="007C5172">
        <w:rPr>
          <w:rFonts w:ascii="標楷體" w:eastAsia="標楷體" w:hAnsi="標楷體" w:hint="eastAsia"/>
          <w:sz w:val="28"/>
        </w:rPr>
        <w:t>預算數2,472億餘元，截至6月底</w:t>
      </w:r>
      <w:proofErr w:type="gramStart"/>
      <w:r w:rsidRPr="007C5172">
        <w:rPr>
          <w:rFonts w:ascii="標楷體" w:eastAsia="標楷體" w:hAnsi="標楷體" w:hint="eastAsia"/>
          <w:sz w:val="28"/>
        </w:rPr>
        <w:t>止</w:t>
      </w:r>
      <w:proofErr w:type="gramEnd"/>
      <w:r w:rsidRPr="007C5172">
        <w:rPr>
          <w:rFonts w:ascii="標楷體" w:eastAsia="標楷體" w:hAnsi="標楷體" w:hint="eastAsia"/>
          <w:sz w:val="28"/>
          <w:lang w:eastAsia="zh-HK"/>
        </w:rPr>
        <w:t>累計</w:t>
      </w:r>
      <w:r w:rsidRPr="007C5172">
        <w:rPr>
          <w:rFonts w:ascii="標楷體" w:eastAsia="標楷體" w:hAnsi="標楷體" w:hint="eastAsia"/>
          <w:sz w:val="28"/>
        </w:rPr>
        <w:t>執行數45億餘元，占</w:t>
      </w:r>
      <w:r w:rsidRPr="007C5172">
        <w:rPr>
          <w:rFonts w:ascii="標楷體" w:eastAsia="標楷體" w:hAnsi="標楷體" w:hint="eastAsia"/>
          <w:sz w:val="28"/>
          <w:lang w:eastAsia="zh-HK"/>
        </w:rPr>
        <w:t>累計</w:t>
      </w:r>
      <w:r w:rsidRPr="007C5172">
        <w:rPr>
          <w:rFonts w:ascii="標楷體" w:eastAsia="標楷體" w:hAnsi="標楷體" w:hint="eastAsia"/>
          <w:sz w:val="28"/>
        </w:rPr>
        <w:t>分配數46億餘元之97.4％。</w:t>
      </w:r>
    </w:p>
    <w:p w:rsidR="00C13F88" w:rsidRPr="00B311CB" w:rsidRDefault="007C5172" w:rsidP="00B311CB">
      <w:pPr>
        <w:pStyle w:val="7"/>
        <w:numPr>
          <w:ilvl w:val="0"/>
          <w:numId w:val="17"/>
        </w:numPr>
        <w:spacing w:line="384" w:lineRule="auto"/>
        <w:rPr>
          <w:rFonts w:ascii="標楷體" w:eastAsia="標楷體" w:hAnsi="標楷體"/>
          <w:sz w:val="28"/>
        </w:rPr>
      </w:pPr>
      <w:r w:rsidRPr="007C5172">
        <w:rPr>
          <w:rFonts w:ascii="標楷體" w:eastAsia="標楷體" w:hAnsi="標楷體" w:hint="eastAsia"/>
          <w:sz w:val="28"/>
          <w:szCs w:val="28"/>
        </w:rPr>
        <w:t>中央政府嚴重特殊傳染性肺炎防治及紓困振興特別預算</w:t>
      </w:r>
      <w:r w:rsidRPr="007C5172">
        <w:rPr>
          <w:rFonts w:ascii="標楷體" w:eastAsia="標楷體" w:hAnsi="標楷體" w:hint="eastAsia"/>
          <w:sz w:val="28"/>
        </w:rPr>
        <w:t>：</w:t>
      </w:r>
      <w:r w:rsidRPr="007C5172">
        <w:rPr>
          <w:rFonts w:ascii="標楷體" w:eastAsia="標楷體" w:hAnsi="標楷體" w:hint="eastAsia"/>
          <w:sz w:val="28"/>
          <w:lang w:eastAsia="zh-HK"/>
        </w:rPr>
        <w:t>歲出</w:t>
      </w:r>
      <w:r w:rsidRPr="007C5172">
        <w:rPr>
          <w:rFonts w:ascii="標楷體" w:eastAsia="標楷體" w:hAnsi="標楷體" w:hint="eastAsia"/>
          <w:sz w:val="28"/>
        </w:rPr>
        <w:t>預算數2,100億</w:t>
      </w:r>
      <w:r w:rsidR="008044CD">
        <w:rPr>
          <w:rFonts w:ascii="標楷體" w:eastAsia="標楷體" w:hAnsi="標楷體" w:hint="eastAsia"/>
          <w:sz w:val="28"/>
          <w:lang w:eastAsia="zh-HK"/>
        </w:rPr>
        <w:t>元</w:t>
      </w:r>
      <w:r w:rsidR="00A80FB1">
        <w:rPr>
          <w:rFonts w:ascii="標楷體" w:eastAsia="標楷體" w:hAnsi="標楷體" w:hint="eastAsia"/>
          <w:sz w:val="28"/>
        </w:rPr>
        <w:t>（</w:t>
      </w:r>
      <w:r w:rsidR="00A80FB1">
        <w:rPr>
          <w:rFonts w:ascii="標楷體" w:eastAsia="標楷體" w:hAnsi="標楷體" w:hint="eastAsia"/>
          <w:sz w:val="28"/>
          <w:lang w:eastAsia="zh-HK"/>
        </w:rPr>
        <w:t>原預算</w:t>
      </w:r>
      <w:r w:rsidR="00A80FB1">
        <w:rPr>
          <w:rFonts w:ascii="標楷體" w:eastAsia="標楷體" w:hAnsi="標楷體" w:hint="eastAsia"/>
          <w:sz w:val="28"/>
        </w:rPr>
        <w:t>600</w:t>
      </w:r>
      <w:r w:rsidR="00A80FB1">
        <w:rPr>
          <w:rFonts w:ascii="標楷體" w:eastAsia="標楷體" w:hAnsi="標楷體" w:hint="eastAsia"/>
          <w:sz w:val="28"/>
          <w:lang w:eastAsia="zh-HK"/>
        </w:rPr>
        <w:t>億元</w:t>
      </w:r>
      <w:r w:rsidR="00A80FB1">
        <w:rPr>
          <w:rFonts w:ascii="標楷體" w:eastAsia="標楷體" w:hAnsi="標楷體" w:hint="eastAsia"/>
          <w:sz w:val="28"/>
        </w:rPr>
        <w:t>、</w:t>
      </w:r>
      <w:r w:rsidR="00A80FB1">
        <w:rPr>
          <w:rFonts w:ascii="標楷體" w:eastAsia="標楷體" w:hAnsi="標楷體" w:hint="eastAsia"/>
          <w:sz w:val="28"/>
          <w:lang w:eastAsia="zh-HK"/>
        </w:rPr>
        <w:t>第</w:t>
      </w:r>
      <w:r w:rsidR="00A80FB1">
        <w:rPr>
          <w:rFonts w:ascii="標楷體" w:eastAsia="標楷體" w:hAnsi="標楷體" w:hint="eastAsia"/>
          <w:sz w:val="28"/>
        </w:rPr>
        <w:t>1</w:t>
      </w:r>
      <w:r w:rsidR="00A80FB1">
        <w:rPr>
          <w:rFonts w:ascii="標楷體" w:eastAsia="標楷體" w:hAnsi="標楷體" w:hint="eastAsia"/>
          <w:sz w:val="28"/>
          <w:lang w:eastAsia="zh-HK"/>
        </w:rPr>
        <w:t>次追加預算</w:t>
      </w:r>
      <w:r w:rsidR="00A80FB1">
        <w:rPr>
          <w:rFonts w:ascii="標楷體" w:eastAsia="標楷體" w:hAnsi="標楷體" w:hint="eastAsia"/>
          <w:sz w:val="28"/>
        </w:rPr>
        <w:t>1,500</w:t>
      </w:r>
      <w:r w:rsidR="00A80FB1">
        <w:rPr>
          <w:rFonts w:ascii="標楷體" w:eastAsia="標楷體" w:hAnsi="標楷體" w:hint="eastAsia"/>
          <w:sz w:val="28"/>
          <w:lang w:eastAsia="zh-HK"/>
        </w:rPr>
        <w:t>億元</w:t>
      </w:r>
      <w:r w:rsidR="00A80FB1">
        <w:rPr>
          <w:rFonts w:ascii="標楷體" w:eastAsia="標楷體" w:hAnsi="標楷體" w:hint="eastAsia"/>
          <w:sz w:val="28"/>
        </w:rPr>
        <w:t>）</w:t>
      </w:r>
      <w:r w:rsidRPr="007C5172">
        <w:rPr>
          <w:rFonts w:ascii="標楷體" w:eastAsia="標楷體" w:hAnsi="標楷體" w:hint="eastAsia"/>
          <w:sz w:val="28"/>
        </w:rPr>
        <w:t>，截至6月底</w:t>
      </w:r>
      <w:proofErr w:type="gramStart"/>
      <w:r w:rsidRPr="007C5172">
        <w:rPr>
          <w:rFonts w:ascii="標楷體" w:eastAsia="標楷體" w:hAnsi="標楷體" w:hint="eastAsia"/>
          <w:sz w:val="28"/>
        </w:rPr>
        <w:t>止</w:t>
      </w:r>
      <w:proofErr w:type="gramEnd"/>
      <w:r w:rsidRPr="007C5172">
        <w:rPr>
          <w:rFonts w:ascii="標楷體" w:eastAsia="標楷體" w:hAnsi="標楷體" w:hint="eastAsia"/>
          <w:sz w:val="28"/>
          <w:lang w:eastAsia="zh-HK"/>
        </w:rPr>
        <w:t>累計</w:t>
      </w:r>
      <w:r w:rsidRPr="007C5172">
        <w:rPr>
          <w:rFonts w:ascii="標楷體" w:eastAsia="標楷體" w:hAnsi="標楷體" w:hint="eastAsia"/>
          <w:sz w:val="28"/>
        </w:rPr>
        <w:t>執行數96</w:t>
      </w:r>
      <w:r w:rsidRPr="007C5172">
        <w:rPr>
          <w:rFonts w:ascii="標楷體" w:eastAsia="標楷體" w:hAnsi="標楷體"/>
          <w:sz w:val="28"/>
        </w:rPr>
        <w:t>5</w:t>
      </w:r>
      <w:r w:rsidRPr="007C5172">
        <w:rPr>
          <w:rFonts w:ascii="標楷體" w:eastAsia="標楷體" w:hAnsi="標楷體" w:hint="eastAsia"/>
          <w:sz w:val="28"/>
        </w:rPr>
        <w:t>億餘元，占</w:t>
      </w:r>
      <w:r w:rsidRPr="007C5172">
        <w:rPr>
          <w:rFonts w:ascii="標楷體" w:eastAsia="標楷體" w:hAnsi="標楷體" w:hint="eastAsia"/>
          <w:sz w:val="28"/>
          <w:lang w:eastAsia="zh-HK"/>
        </w:rPr>
        <w:t>累計</w:t>
      </w:r>
      <w:r w:rsidRPr="007C5172">
        <w:rPr>
          <w:rFonts w:ascii="標楷體" w:eastAsia="標楷體" w:hAnsi="標楷體" w:hint="eastAsia"/>
          <w:sz w:val="28"/>
        </w:rPr>
        <w:t>分配數1,140億餘元之</w:t>
      </w:r>
      <w:r w:rsidRPr="007C5172">
        <w:rPr>
          <w:rFonts w:ascii="標楷體" w:eastAsia="標楷體" w:hAnsi="標楷體"/>
          <w:sz w:val="28"/>
        </w:rPr>
        <w:t>8</w:t>
      </w:r>
      <w:r w:rsidRPr="007C5172">
        <w:rPr>
          <w:rFonts w:ascii="標楷體" w:eastAsia="標楷體" w:hAnsi="標楷體" w:hint="eastAsia"/>
          <w:sz w:val="28"/>
        </w:rPr>
        <w:t>4.6％。</w:t>
      </w:r>
    </w:p>
    <w:sectPr w:rsidR="00C13F88" w:rsidRPr="00B311CB" w:rsidSect="001D3358">
      <w:headerReference w:type="default" r:id="rId11"/>
      <w:footerReference w:type="even" r:id="rId12"/>
      <w:footerReference w:type="default" r:id="rId13"/>
      <w:pgSz w:w="11907" w:h="16840" w:code="9"/>
      <w:pgMar w:top="1134" w:right="1134" w:bottom="993" w:left="1134" w:header="720" w:footer="567" w:gutter="0"/>
      <w:cols w:space="720"/>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2A79" w:rsidRDefault="00142A79">
      <w:r>
        <w:separator/>
      </w:r>
    </w:p>
  </w:endnote>
  <w:endnote w:type="continuationSeparator" w:id="0">
    <w:p w:rsidR="00142A79" w:rsidRDefault="00142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華康中黑體">
    <w:altName w:val="微軟正黑體"/>
    <w:charset w:val="88"/>
    <w:family w:val="modern"/>
    <w:pitch w:val="fixed"/>
    <w:sig w:usb0="00000000" w:usb1="28091800" w:usb2="00000016" w:usb3="00000000" w:csb0="00100000" w:csb1="00000000"/>
  </w:font>
  <w:font w:name="華康楷書體W5">
    <w:altName w:val="微軟正黑體"/>
    <w:charset w:val="88"/>
    <w:family w:val="script"/>
    <w:pitch w:val="fixed"/>
    <w:sig w:usb0="80000001" w:usb1="28091800" w:usb2="00000016" w:usb3="00000000" w:csb0="00100000"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795" w:rsidRPr="00070A1B" w:rsidRDefault="00087795">
    <w:pPr>
      <w:pStyle w:val="a3"/>
      <w:ind w:right="360"/>
      <w:jc w:val="center"/>
      <w:rPr>
        <w:rFonts w:ascii="標楷體" w:eastAsia="標楷體" w:hAnsi="標楷體"/>
        <w:sz w:val="24"/>
        <w:szCs w:val="24"/>
      </w:rPr>
    </w:pPr>
    <w:r w:rsidRPr="00070A1B">
      <w:rPr>
        <w:rStyle w:val="a4"/>
        <w:rFonts w:ascii="標楷體" w:eastAsia="標楷體" w:hAnsi="標楷體" w:hint="eastAsia"/>
        <w:sz w:val="24"/>
        <w:szCs w:val="24"/>
      </w:rPr>
      <w:t xml:space="preserve">甲 </w:t>
    </w:r>
    <w:r w:rsidRPr="00070A1B">
      <w:rPr>
        <w:rStyle w:val="a4"/>
        <w:rFonts w:ascii="標楷體" w:eastAsia="標楷體" w:hAnsi="標楷體"/>
        <w:sz w:val="24"/>
        <w:szCs w:val="24"/>
      </w:rPr>
      <w:fldChar w:fldCharType="begin"/>
    </w:r>
    <w:r w:rsidRPr="00070A1B">
      <w:rPr>
        <w:rStyle w:val="a4"/>
        <w:rFonts w:ascii="標楷體" w:eastAsia="標楷體" w:hAnsi="標楷體"/>
        <w:sz w:val="24"/>
        <w:szCs w:val="24"/>
      </w:rPr>
      <w:instrText xml:space="preserve"> PAGE </w:instrText>
    </w:r>
    <w:r w:rsidRPr="00070A1B">
      <w:rPr>
        <w:rStyle w:val="a4"/>
        <w:rFonts w:ascii="標楷體" w:eastAsia="標楷體" w:hAnsi="標楷體"/>
        <w:sz w:val="24"/>
        <w:szCs w:val="24"/>
      </w:rPr>
      <w:fldChar w:fldCharType="separate"/>
    </w:r>
    <w:r w:rsidR="00567636">
      <w:rPr>
        <w:rStyle w:val="a4"/>
        <w:rFonts w:ascii="標楷體" w:eastAsia="標楷體" w:hAnsi="標楷體"/>
        <w:noProof/>
        <w:sz w:val="24"/>
        <w:szCs w:val="24"/>
      </w:rPr>
      <w:t>4</w:t>
    </w:r>
    <w:r w:rsidRPr="00070A1B">
      <w:rPr>
        <w:rStyle w:val="a4"/>
        <w:rFonts w:ascii="標楷體" w:eastAsia="標楷體" w:hAnsi="標楷體"/>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795" w:rsidRPr="00070A1B" w:rsidRDefault="00087795">
    <w:pPr>
      <w:pStyle w:val="a3"/>
      <w:jc w:val="center"/>
      <w:rPr>
        <w:rFonts w:ascii="標楷體" w:eastAsia="標楷體" w:hAnsi="標楷體"/>
        <w:sz w:val="24"/>
        <w:szCs w:val="24"/>
      </w:rPr>
    </w:pPr>
    <w:r w:rsidRPr="00070A1B">
      <w:rPr>
        <w:rStyle w:val="a4"/>
        <w:rFonts w:ascii="標楷體" w:eastAsia="標楷體" w:hAnsi="標楷體" w:hint="eastAsia"/>
        <w:sz w:val="24"/>
        <w:szCs w:val="24"/>
      </w:rPr>
      <w:t xml:space="preserve">甲 </w:t>
    </w:r>
    <w:r w:rsidRPr="00070A1B">
      <w:rPr>
        <w:rStyle w:val="a4"/>
        <w:rFonts w:ascii="標楷體" w:eastAsia="標楷體" w:hAnsi="標楷體"/>
        <w:sz w:val="24"/>
        <w:szCs w:val="24"/>
      </w:rPr>
      <w:fldChar w:fldCharType="begin"/>
    </w:r>
    <w:r w:rsidRPr="00070A1B">
      <w:rPr>
        <w:rStyle w:val="a4"/>
        <w:rFonts w:ascii="標楷體" w:eastAsia="標楷體" w:hAnsi="標楷體"/>
        <w:sz w:val="24"/>
        <w:szCs w:val="24"/>
      </w:rPr>
      <w:instrText xml:space="preserve"> PAGE </w:instrText>
    </w:r>
    <w:r w:rsidRPr="00070A1B">
      <w:rPr>
        <w:rStyle w:val="a4"/>
        <w:rFonts w:ascii="標楷體" w:eastAsia="標楷體" w:hAnsi="標楷體"/>
        <w:sz w:val="24"/>
        <w:szCs w:val="24"/>
      </w:rPr>
      <w:fldChar w:fldCharType="separate"/>
    </w:r>
    <w:r w:rsidR="00567636">
      <w:rPr>
        <w:rStyle w:val="a4"/>
        <w:rFonts w:ascii="標楷體" w:eastAsia="標楷體" w:hAnsi="標楷體"/>
        <w:noProof/>
        <w:sz w:val="24"/>
        <w:szCs w:val="24"/>
      </w:rPr>
      <w:t>3</w:t>
    </w:r>
    <w:r w:rsidRPr="00070A1B">
      <w:rPr>
        <w:rStyle w:val="a4"/>
        <w:rFonts w:ascii="標楷體" w:eastAsia="標楷體" w:hAnsi="標楷體"/>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2A79" w:rsidRDefault="00142A79">
      <w:r>
        <w:separator/>
      </w:r>
    </w:p>
  </w:footnote>
  <w:footnote w:type="continuationSeparator" w:id="0">
    <w:p w:rsidR="00142A79" w:rsidRDefault="00142A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795" w:rsidRDefault="00087795">
    <w:pPr>
      <w:pStyle w:val="a5"/>
      <w:jc w:val="right"/>
      <w:rPr>
        <w:rFonts w:ascii="華康楷書體W5" w:eastAsia="華康楷書體W5"/>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51AC2"/>
    <w:multiLevelType w:val="singleLevel"/>
    <w:tmpl w:val="806C1CE2"/>
    <w:lvl w:ilvl="0">
      <w:start w:val="1"/>
      <w:numFmt w:val="taiwaneseCountingThousand"/>
      <w:lvlText w:val="%1、"/>
      <w:lvlJc w:val="left"/>
      <w:pPr>
        <w:tabs>
          <w:tab w:val="num" w:pos="886"/>
        </w:tabs>
        <w:ind w:left="886" w:hanging="528"/>
      </w:pPr>
      <w:rPr>
        <w:rFonts w:hint="eastAsia"/>
      </w:rPr>
    </w:lvl>
  </w:abstractNum>
  <w:abstractNum w:abstractNumId="1" w15:restartNumberingAfterBreak="0">
    <w:nsid w:val="0E921E00"/>
    <w:multiLevelType w:val="singleLevel"/>
    <w:tmpl w:val="43627322"/>
    <w:lvl w:ilvl="0">
      <w:start w:val="1"/>
      <w:numFmt w:val="decimal"/>
      <w:lvlText w:val="%1."/>
      <w:lvlJc w:val="left"/>
      <w:pPr>
        <w:tabs>
          <w:tab w:val="num" w:pos="770"/>
        </w:tabs>
        <w:ind w:left="770" w:hanging="168"/>
      </w:pPr>
      <w:rPr>
        <w:rFonts w:hint="eastAsia"/>
      </w:rPr>
    </w:lvl>
  </w:abstractNum>
  <w:abstractNum w:abstractNumId="2" w15:restartNumberingAfterBreak="0">
    <w:nsid w:val="125E5995"/>
    <w:multiLevelType w:val="singleLevel"/>
    <w:tmpl w:val="C5AA7F8C"/>
    <w:lvl w:ilvl="0">
      <w:start w:val="1"/>
      <w:numFmt w:val="taiwaneseCountingThousand"/>
      <w:lvlText w:val="%1、"/>
      <w:lvlJc w:val="left"/>
      <w:pPr>
        <w:tabs>
          <w:tab w:val="num" w:pos="1080"/>
        </w:tabs>
        <w:ind w:left="1080" w:hanging="720"/>
      </w:pPr>
      <w:rPr>
        <w:rFonts w:hint="eastAsia"/>
      </w:rPr>
    </w:lvl>
  </w:abstractNum>
  <w:abstractNum w:abstractNumId="3" w15:restartNumberingAfterBreak="0">
    <w:nsid w:val="1B7A4328"/>
    <w:multiLevelType w:val="hybridMultilevel"/>
    <w:tmpl w:val="9842C4E4"/>
    <w:lvl w:ilvl="0" w:tplc="F1BC60AC">
      <w:start w:val="1"/>
      <w:numFmt w:val="taiwaneseCountingThousand"/>
      <w:lvlText w:val="%1、"/>
      <w:lvlJc w:val="left"/>
      <w:pPr>
        <w:ind w:left="720" w:hanging="720"/>
      </w:pPr>
      <w:rPr>
        <w:rFonts w:hint="default"/>
        <w:lang w:val="en-US"/>
      </w:rPr>
    </w:lvl>
    <w:lvl w:ilvl="1" w:tplc="93F6EA24">
      <w:start w:val="1"/>
      <w:numFmt w:val="taiwaneseCountingThousand"/>
      <w:lvlText w:val="(%2)"/>
      <w:lvlJc w:val="left"/>
      <w:pPr>
        <w:ind w:left="1102" w:hanging="480"/>
      </w:pPr>
      <w:rPr>
        <w:rFonts w:hint="eastAsia"/>
      </w:r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4" w15:restartNumberingAfterBreak="0">
    <w:nsid w:val="229D1F9C"/>
    <w:multiLevelType w:val="hybridMultilevel"/>
    <w:tmpl w:val="C4EC057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64C2DCB"/>
    <w:multiLevelType w:val="hybridMultilevel"/>
    <w:tmpl w:val="FF5C1638"/>
    <w:lvl w:ilvl="0" w:tplc="BA2A7556">
      <w:start w:val="1"/>
      <w:numFmt w:val="taiwaneseCountingThousand"/>
      <w:lvlText w:val="（%1）"/>
      <w:lvlJc w:val="left"/>
      <w:pPr>
        <w:ind w:left="1237" w:hanging="855"/>
      </w:pPr>
      <w:rPr>
        <w:rFonts w:hint="default"/>
      </w:rPr>
    </w:lvl>
    <w:lvl w:ilvl="1" w:tplc="04090019" w:tentative="1">
      <w:start w:val="1"/>
      <w:numFmt w:val="ideographTraditional"/>
      <w:lvlText w:val="%2、"/>
      <w:lvlJc w:val="left"/>
      <w:pPr>
        <w:ind w:left="1342" w:hanging="480"/>
      </w:pPr>
    </w:lvl>
    <w:lvl w:ilvl="2" w:tplc="0409001B" w:tentative="1">
      <w:start w:val="1"/>
      <w:numFmt w:val="lowerRoman"/>
      <w:lvlText w:val="%3."/>
      <w:lvlJc w:val="right"/>
      <w:pPr>
        <w:ind w:left="1822" w:hanging="480"/>
      </w:pPr>
    </w:lvl>
    <w:lvl w:ilvl="3" w:tplc="0409000F" w:tentative="1">
      <w:start w:val="1"/>
      <w:numFmt w:val="decimal"/>
      <w:lvlText w:val="%4."/>
      <w:lvlJc w:val="left"/>
      <w:pPr>
        <w:ind w:left="2302" w:hanging="480"/>
      </w:pPr>
    </w:lvl>
    <w:lvl w:ilvl="4" w:tplc="04090019" w:tentative="1">
      <w:start w:val="1"/>
      <w:numFmt w:val="ideographTraditional"/>
      <w:lvlText w:val="%5、"/>
      <w:lvlJc w:val="left"/>
      <w:pPr>
        <w:ind w:left="2782" w:hanging="480"/>
      </w:pPr>
    </w:lvl>
    <w:lvl w:ilvl="5" w:tplc="0409001B" w:tentative="1">
      <w:start w:val="1"/>
      <w:numFmt w:val="lowerRoman"/>
      <w:lvlText w:val="%6."/>
      <w:lvlJc w:val="right"/>
      <w:pPr>
        <w:ind w:left="3262" w:hanging="480"/>
      </w:pPr>
    </w:lvl>
    <w:lvl w:ilvl="6" w:tplc="0409000F" w:tentative="1">
      <w:start w:val="1"/>
      <w:numFmt w:val="decimal"/>
      <w:lvlText w:val="%7."/>
      <w:lvlJc w:val="left"/>
      <w:pPr>
        <w:ind w:left="3742" w:hanging="480"/>
      </w:pPr>
    </w:lvl>
    <w:lvl w:ilvl="7" w:tplc="04090019" w:tentative="1">
      <w:start w:val="1"/>
      <w:numFmt w:val="ideographTraditional"/>
      <w:lvlText w:val="%8、"/>
      <w:lvlJc w:val="left"/>
      <w:pPr>
        <w:ind w:left="4222" w:hanging="480"/>
      </w:pPr>
    </w:lvl>
    <w:lvl w:ilvl="8" w:tplc="0409001B" w:tentative="1">
      <w:start w:val="1"/>
      <w:numFmt w:val="lowerRoman"/>
      <w:lvlText w:val="%9."/>
      <w:lvlJc w:val="right"/>
      <w:pPr>
        <w:ind w:left="4702" w:hanging="480"/>
      </w:pPr>
    </w:lvl>
  </w:abstractNum>
  <w:abstractNum w:abstractNumId="6" w15:restartNumberingAfterBreak="0">
    <w:nsid w:val="3C401193"/>
    <w:multiLevelType w:val="singleLevel"/>
    <w:tmpl w:val="E3B88CF6"/>
    <w:lvl w:ilvl="0">
      <w:start w:val="1"/>
      <w:numFmt w:val="ideographLegalTraditional"/>
      <w:lvlText w:val="%1、"/>
      <w:lvlJc w:val="left"/>
      <w:pPr>
        <w:tabs>
          <w:tab w:val="num" w:pos="720"/>
        </w:tabs>
        <w:ind w:left="720" w:hanging="720"/>
      </w:pPr>
      <w:rPr>
        <w:rFonts w:hint="eastAsia"/>
      </w:rPr>
    </w:lvl>
  </w:abstractNum>
  <w:abstractNum w:abstractNumId="7" w15:restartNumberingAfterBreak="0">
    <w:nsid w:val="3CF65E17"/>
    <w:multiLevelType w:val="multilevel"/>
    <w:tmpl w:val="AC28F87C"/>
    <w:lvl w:ilvl="0">
      <w:start w:val="1"/>
      <w:numFmt w:val="taiwaneseCountingThousand"/>
      <w:lvlText w:val="(%1)"/>
      <w:lvlJc w:val="left"/>
      <w:pPr>
        <w:tabs>
          <w:tab w:val="num" w:pos="960"/>
        </w:tabs>
        <w:ind w:left="960" w:hanging="676"/>
      </w:pPr>
      <w:rPr>
        <w:rFonts w:hint="eastAsia"/>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8" w15:restartNumberingAfterBreak="0">
    <w:nsid w:val="3E162346"/>
    <w:multiLevelType w:val="singleLevel"/>
    <w:tmpl w:val="DCD2065C"/>
    <w:lvl w:ilvl="0">
      <w:start w:val="1"/>
      <w:numFmt w:val="decimal"/>
      <w:lvlText w:val="%1."/>
      <w:lvlJc w:val="left"/>
      <w:pPr>
        <w:tabs>
          <w:tab w:val="num" w:pos="810"/>
        </w:tabs>
        <w:ind w:left="810" w:hanging="210"/>
      </w:pPr>
      <w:rPr>
        <w:rFonts w:hint="eastAsia"/>
      </w:rPr>
    </w:lvl>
  </w:abstractNum>
  <w:abstractNum w:abstractNumId="9" w15:restartNumberingAfterBreak="0">
    <w:nsid w:val="3FEB5F35"/>
    <w:multiLevelType w:val="singleLevel"/>
    <w:tmpl w:val="7188E000"/>
    <w:lvl w:ilvl="0">
      <w:start w:val="1"/>
      <w:numFmt w:val="taiwaneseCountingThousand"/>
      <w:lvlText w:val="(%1)"/>
      <w:lvlJc w:val="left"/>
      <w:pPr>
        <w:tabs>
          <w:tab w:val="num" w:pos="485"/>
        </w:tabs>
        <w:ind w:left="485" w:hanging="485"/>
      </w:pPr>
      <w:rPr>
        <w:rFonts w:hint="eastAsia"/>
      </w:rPr>
    </w:lvl>
  </w:abstractNum>
  <w:abstractNum w:abstractNumId="10" w15:restartNumberingAfterBreak="0">
    <w:nsid w:val="43542F96"/>
    <w:multiLevelType w:val="hybridMultilevel"/>
    <w:tmpl w:val="DF5A0AD6"/>
    <w:lvl w:ilvl="0" w:tplc="F1BC60AC">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1" w15:restartNumberingAfterBreak="0">
    <w:nsid w:val="49550105"/>
    <w:multiLevelType w:val="singleLevel"/>
    <w:tmpl w:val="8E782D66"/>
    <w:lvl w:ilvl="0">
      <w:start w:val="1"/>
      <w:numFmt w:val="taiwaneseCountingThousand"/>
      <w:lvlText w:val="%1、"/>
      <w:lvlJc w:val="left"/>
      <w:pPr>
        <w:tabs>
          <w:tab w:val="num" w:pos="720"/>
        </w:tabs>
        <w:ind w:left="720" w:hanging="720"/>
      </w:pPr>
      <w:rPr>
        <w:rFonts w:hint="eastAsia"/>
      </w:rPr>
    </w:lvl>
  </w:abstractNum>
  <w:abstractNum w:abstractNumId="12" w15:restartNumberingAfterBreak="0">
    <w:nsid w:val="4B9E2E0A"/>
    <w:multiLevelType w:val="hybridMultilevel"/>
    <w:tmpl w:val="DF5A0AD6"/>
    <w:lvl w:ilvl="0" w:tplc="F1BC60AC">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3" w15:restartNumberingAfterBreak="0">
    <w:nsid w:val="57FC243B"/>
    <w:multiLevelType w:val="multilevel"/>
    <w:tmpl w:val="4288DFC0"/>
    <w:lvl w:ilvl="0">
      <w:start w:val="1"/>
      <w:numFmt w:val="taiwaneseCountingThousand"/>
      <w:lvlText w:val="%1、"/>
      <w:lvlJc w:val="left"/>
      <w:pPr>
        <w:tabs>
          <w:tab w:val="num" w:pos="1200"/>
        </w:tabs>
        <w:ind w:left="1200" w:hanging="480"/>
      </w:pPr>
    </w:lvl>
    <w:lvl w:ilvl="1" w:tentative="1">
      <w:start w:val="1"/>
      <w:numFmt w:val="ideographTraditional"/>
      <w:lvlText w:val="%2、"/>
      <w:lvlJc w:val="left"/>
      <w:pPr>
        <w:tabs>
          <w:tab w:val="num" w:pos="1680"/>
        </w:tabs>
        <w:ind w:left="1680" w:hanging="480"/>
      </w:pPr>
    </w:lvl>
    <w:lvl w:ilvl="2" w:tentative="1">
      <w:start w:val="1"/>
      <w:numFmt w:val="lowerRoman"/>
      <w:lvlText w:val="%3."/>
      <w:lvlJc w:val="right"/>
      <w:pPr>
        <w:tabs>
          <w:tab w:val="num" w:pos="2160"/>
        </w:tabs>
        <w:ind w:left="2160" w:hanging="480"/>
      </w:pPr>
    </w:lvl>
    <w:lvl w:ilvl="3" w:tentative="1">
      <w:start w:val="1"/>
      <w:numFmt w:val="decimal"/>
      <w:lvlText w:val="%4."/>
      <w:lvlJc w:val="left"/>
      <w:pPr>
        <w:tabs>
          <w:tab w:val="num" w:pos="2640"/>
        </w:tabs>
        <w:ind w:left="2640" w:hanging="480"/>
      </w:pPr>
    </w:lvl>
    <w:lvl w:ilvl="4" w:tentative="1">
      <w:start w:val="1"/>
      <w:numFmt w:val="ideographTraditional"/>
      <w:lvlText w:val="%5、"/>
      <w:lvlJc w:val="left"/>
      <w:pPr>
        <w:tabs>
          <w:tab w:val="num" w:pos="3120"/>
        </w:tabs>
        <w:ind w:left="3120" w:hanging="480"/>
      </w:pPr>
    </w:lvl>
    <w:lvl w:ilvl="5" w:tentative="1">
      <w:start w:val="1"/>
      <w:numFmt w:val="lowerRoman"/>
      <w:lvlText w:val="%6."/>
      <w:lvlJc w:val="right"/>
      <w:pPr>
        <w:tabs>
          <w:tab w:val="num" w:pos="3600"/>
        </w:tabs>
        <w:ind w:left="3600" w:hanging="480"/>
      </w:pPr>
    </w:lvl>
    <w:lvl w:ilvl="6" w:tentative="1">
      <w:start w:val="1"/>
      <w:numFmt w:val="decimal"/>
      <w:lvlText w:val="%7."/>
      <w:lvlJc w:val="left"/>
      <w:pPr>
        <w:tabs>
          <w:tab w:val="num" w:pos="4080"/>
        </w:tabs>
        <w:ind w:left="4080" w:hanging="480"/>
      </w:pPr>
    </w:lvl>
    <w:lvl w:ilvl="7" w:tentative="1">
      <w:start w:val="1"/>
      <w:numFmt w:val="ideographTraditional"/>
      <w:lvlText w:val="%8、"/>
      <w:lvlJc w:val="left"/>
      <w:pPr>
        <w:tabs>
          <w:tab w:val="num" w:pos="4560"/>
        </w:tabs>
        <w:ind w:left="4560" w:hanging="480"/>
      </w:pPr>
    </w:lvl>
    <w:lvl w:ilvl="8" w:tentative="1">
      <w:start w:val="1"/>
      <w:numFmt w:val="lowerRoman"/>
      <w:lvlText w:val="%9."/>
      <w:lvlJc w:val="right"/>
      <w:pPr>
        <w:tabs>
          <w:tab w:val="num" w:pos="5040"/>
        </w:tabs>
        <w:ind w:left="5040" w:hanging="480"/>
      </w:pPr>
    </w:lvl>
  </w:abstractNum>
  <w:abstractNum w:abstractNumId="14" w15:restartNumberingAfterBreak="0">
    <w:nsid w:val="5E2C0EF9"/>
    <w:multiLevelType w:val="singleLevel"/>
    <w:tmpl w:val="1864212E"/>
    <w:lvl w:ilvl="0">
      <w:start w:val="1"/>
      <w:numFmt w:val="taiwaneseCountingThousand"/>
      <w:lvlText w:val="%1、"/>
      <w:lvlJc w:val="left"/>
      <w:pPr>
        <w:tabs>
          <w:tab w:val="num" w:pos="870"/>
        </w:tabs>
        <w:ind w:left="870" w:hanging="510"/>
      </w:pPr>
      <w:rPr>
        <w:rFonts w:hint="eastAsia"/>
      </w:rPr>
    </w:lvl>
  </w:abstractNum>
  <w:abstractNum w:abstractNumId="15" w15:restartNumberingAfterBreak="0">
    <w:nsid w:val="60D87967"/>
    <w:multiLevelType w:val="singleLevel"/>
    <w:tmpl w:val="7434737A"/>
    <w:lvl w:ilvl="0">
      <w:start w:val="1"/>
      <w:numFmt w:val="taiwaneseCountingThousand"/>
      <w:lvlText w:val="（%1）"/>
      <w:lvlJc w:val="left"/>
      <w:pPr>
        <w:tabs>
          <w:tab w:val="num" w:pos="1364"/>
        </w:tabs>
        <w:ind w:left="1364" w:hanging="1080"/>
      </w:pPr>
      <w:rPr>
        <w:rFonts w:hint="eastAsia"/>
      </w:rPr>
    </w:lvl>
  </w:abstractNum>
  <w:abstractNum w:abstractNumId="16" w15:restartNumberingAfterBreak="0">
    <w:nsid w:val="74CD39B0"/>
    <w:multiLevelType w:val="singleLevel"/>
    <w:tmpl w:val="A1BE93B6"/>
    <w:lvl w:ilvl="0">
      <w:start w:val="1"/>
      <w:numFmt w:val="taiwaneseCountingThousand"/>
      <w:lvlText w:val="%1、"/>
      <w:lvlJc w:val="left"/>
      <w:pPr>
        <w:tabs>
          <w:tab w:val="num" w:pos="1002"/>
        </w:tabs>
        <w:ind w:left="1002" w:hanging="642"/>
      </w:pPr>
      <w:rPr>
        <w:rFonts w:hint="eastAsia"/>
      </w:rPr>
    </w:lvl>
  </w:abstractNum>
  <w:num w:numId="1">
    <w:abstractNumId w:val="1"/>
  </w:num>
  <w:num w:numId="2">
    <w:abstractNumId w:val="9"/>
  </w:num>
  <w:num w:numId="3">
    <w:abstractNumId w:val="13"/>
  </w:num>
  <w:num w:numId="4">
    <w:abstractNumId w:val="7"/>
  </w:num>
  <w:num w:numId="5">
    <w:abstractNumId w:val="6"/>
  </w:num>
  <w:num w:numId="6">
    <w:abstractNumId w:val="8"/>
  </w:num>
  <w:num w:numId="7">
    <w:abstractNumId w:val="15"/>
  </w:num>
  <w:num w:numId="8">
    <w:abstractNumId w:val="16"/>
  </w:num>
  <w:num w:numId="9">
    <w:abstractNumId w:val="2"/>
  </w:num>
  <w:num w:numId="10">
    <w:abstractNumId w:val="11"/>
  </w:num>
  <w:num w:numId="11">
    <w:abstractNumId w:val="0"/>
  </w:num>
  <w:num w:numId="12">
    <w:abstractNumId w:val="14"/>
  </w:num>
  <w:num w:numId="13">
    <w:abstractNumId w:val="4"/>
  </w:num>
  <w:num w:numId="14">
    <w:abstractNumId w:val="10"/>
  </w:num>
  <w:num w:numId="15">
    <w:abstractNumId w:val="12"/>
  </w:num>
  <w:num w:numId="16">
    <w:abstractNumId w:val="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evenAndOddHeaders/>
  <w:drawingGridHorizontalSpacing w:val="120"/>
  <w:drawingGridVerticalSpacing w:val="163"/>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17D"/>
    <w:rsid w:val="00001E3C"/>
    <w:rsid w:val="00002EB7"/>
    <w:rsid w:val="000032FE"/>
    <w:rsid w:val="0000364A"/>
    <w:rsid w:val="000038F3"/>
    <w:rsid w:val="00004A10"/>
    <w:rsid w:val="00006546"/>
    <w:rsid w:val="000116C1"/>
    <w:rsid w:val="00013995"/>
    <w:rsid w:val="00013BF6"/>
    <w:rsid w:val="000144A3"/>
    <w:rsid w:val="0001450D"/>
    <w:rsid w:val="00015F8B"/>
    <w:rsid w:val="00016752"/>
    <w:rsid w:val="00016B08"/>
    <w:rsid w:val="0002016C"/>
    <w:rsid w:val="0002086B"/>
    <w:rsid w:val="00020B90"/>
    <w:rsid w:val="00020C6D"/>
    <w:rsid w:val="000245AC"/>
    <w:rsid w:val="0003077C"/>
    <w:rsid w:val="00030823"/>
    <w:rsid w:val="00030DE8"/>
    <w:rsid w:val="0003165C"/>
    <w:rsid w:val="0003306F"/>
    <w:rsid w:val="0003322A"/>
    <w:rsid w:val="000334D4"/>
    <w:rsid w:val="00034F8A"/>
    <w:rsid w:val="00036AD7"/>
    <w:rsid w:val="0004021F"/>
    <w:rsid w:val="00040993"/>
    <w:rsid w:val="00045EF6"/>
    <w:rsid w:val="00046996"/>
    <w:rsid w:val="00052AC9"/>
    <w:rsid w:val="000530DE"/>
    <w:rsid w:val="0005380E"/>
    <w:rsid w:val="00053C7A"/>
    <w:rsid w:val="0005519A"/>
    <w:rsid w:val="000574FE"/>
    <w:rsid w:val="00060C4F"/>
    <w:rsid w:val="00063799"/>
    <w:rsid w:val="00063D9F"/>
    <w:rsid w:val="000646D5"/>
    <w:rsid w:val="000670CA"/>
    <w:rsid w:val="00070A1B"/>
    <w:rsid w:val="00071406"/>
    <w:rsid w:val="00071DD3"/>
    <w:rsid w:val="00073676"/>
    <w:rsid w:val="00074277"/>
    <w:rsid w:val="00076719"/>
    <w:rsid w:val="00076B5E"/>
    <w:rsid w:val="0008090E"/>
    <w:rsid w:val="00080959"/>
    <w:rsid w:val="00081614"/>
    <w:rsid w:val="000817DA"/>
    <w:rsid w:val="0008256E"/>
    <w:rsid w:val="00084845"/>
    <w:rsid w:val="00084D3F"/>
    <w:rsid w:val="00087099"/>
    <w:rsid w:val="00087795"/>
    <w:rsid w:val="000902CE"/>
    <w:rsid w:val="00092079"/>
    <w:rsid w:val="000946E3"/>
    <w:rsid w:val="00096032"/>
    <w:rsid w:val="000969C9"/>
    <w:rsid w:val="000A10A0"/>
    <w:rsid w:val="000A3E92"/>
    <w:rsid w:val="000A3FA5"/>
    <w:rsid w:val="000A5B5C"/>
    <w:rsid w:val="000A711E"/>
    <w:rsid w:val="000B45DF"/>
    <w:rsid w:val="000B75CA"/>
    <w:rsid w:val="000C08D1"/>
    <w:rsid w:val="000C0CAE"/>
    <w:rsid w:val="000C2405"/>
    <w:rsid w:val="000C37E6"/>
    <w:rsid w:val="000C4692"/>
    <w:rsid w:val="000C7A64"/>
    <w:rsid w:val="000D3056"/>
    <w:rsid w:val="000D3A0A"/>
    <w:rsid w:val="000D5C7A"/>
    <w:rsid w:val="000E0896"/>
    <w:rsid w:val="000E1635"/>
    <w:rsid w:val="000E3283"/>
    <w:rsid w:val="000E3309"/>
    <w:rsid w:val="000E3B48"/>
    <w:rsid w:val="000E40CE"/>
    <w:rsid w:val="000F07D7"/>
    <w:rsid w:val="000F1659"/>
    <w:rsid w:val="000F1EC7"/>
    <w:rsid w:val="000F2234"/>
    <w:rsid w:val="000F31CA"/>
    <w:rsid w:val="000F3E14"/>
    <w:rsid w:val="000F6CC2"/>
    <w:rsid w:val="00104123"/>
    <w:rsid w:val="001042C2"/>
    <w:rsid w:val="0010523F"/>
    <w:rsid w:val="001073EC"/>
    <w:rsid w:val="001170A4"/>
    <w:rsid w:val="00122378"/>
    <w:rsid w:val="0012253A"/>
    <w:rsid w:val="001258EB"/>
    <w:rsid w:val="00126408"/>
    <w:rsid w:val="0012688A"/>
    <w:rsid w:val="001306FE"/>
    <w:rsid w:val="0013108C"/>
    <w:rsid w:val="00131585"/>
    <w:rsid w:val="00131BBE"/>
    <w:rsid w:val="00131D99"/>
    <w:rsid w:val="00132A49"/>
    <w:rsid w:val="00135430"/>
    <w:rsid w:val="00137091"/>
    <w:rsid w:val="001371F8"/>
    <w:rsid w:val="001377A8"/>
    <w:rsid w:val="00141C86"/>
    <w:rsid w:val="00142691"/>
    <w:rsid w:val="00142A79"/>
    <w:rsid w:val="001437DB"/>
    <w:rsid w:val="00144A87"/>
    <w:rsid w:val="00151D13"/>
    <w:rsid w:val="00152787"/>
    <w:rsid w:val="00155154"/>
    <w:rsid w:val="00161BA4"/>
    <w:rsid w:val="001638A9"/>
    <w:rsid w:val="00164652"/>
    <w:rsid w:val="00165F27"/>
    <w:rsid w:val="001668F5"/>
    <w:rsid w:val="00176F79"/>
    <w:rsid w:val="00177902"/>
    <w:rsid w:val="00177CEC"/>
    <w:rsid w:val="001808B2"/>
    <w:rsid w:val="001828B3"/>
    <w:rsid w:val="001846EF"/>
    <w:rsid w:val="00185801"/>
    <w:rsid w:val="00186B87"/>
    <w:rsid w:val="00187040"/>
    <w:rsid w:val="00190DF2"/>
    <w:rsid w:val="001913BE"/>
    <w:rsid w:val="00191F4E"/>
    <w:rsid w:val="00194F41"/>
    <w:rsid w:val="00197D89"/>
    <w:rsid w:val="001A163E"/>
    <w:rsid w:val="001A18AD"/>
    <w:rsid w:val="001A1AAC"/>
    <w:rsid w:val="001A1C7E"/>
    <w:rsid w:val="001A449F"/>
    <w:rsid w:val="001A4BE4"/>
    <w:rsid w:val="001A656E"/>
    <w:rsid w:val="001A6D82"/>
    <w:rsid w:val="001B095C"/>
    <w:rsid w:val="001B0F18"/>
    <w:rsid w:val="001B3A25"/>
    <w:rsid w:val="001C110A"/>
    <w:rsid w:val="001C313A"/>
    <w:rsid w:val="001C3C89"/>
    <w:rsid w:val="001C4A23"/>
    <w:rsid w:val="001C4CCD"/>
    <w:rsid w:val="001C5342"/>
    <w:rsid w:val="001C565F"/>
    <w:rsid w:val="001C6490"/>
    <w:rsid w:val="001D0566"/>
    <w:rsid w:val="001D0BAD"/>
    <w:rsid w:val="001D0DE2"/>
    <w:rsid w:val="001D1513"/>
    <w:rsid w:val="001D3358"/>
    <w:rsid w:val="001D407B"/>
    <w:rsid w:val="001D50D0"/>
    <w:rsid w:val="001D71F3"/>
    <w:rsid w:val="001D78F2"/>
    <w:rsid w:val="001D78FE"/>
    <w:rsid w:val="001E009D"/>
    <w:rsid w:val="001E3E3E"/>
    <w:rsid w:val="001E5E43"/>
    <w:rsid w:val="001E6200"/>
    <w:rsid w:val="001E6AA7"/>
    <w:rsid w:val="001E6EEB"/>
    <w:rsid w:val="001F085B"/>
    <w:rsid w:val="001F1D3C"/>
    <w:rsid w:val="001F27A8"/>
    <w:rsid w:val="0020028F"/>
    <w:rsid w:val="00200966"/>
    <w:rsid w:val="0020174C"/>
    <w:rsid w:val="00202E58"/>
    <w:rsid w:val="00202FDD"/>
    <w:rsid w:val="002045F6"/>
    <w:rsid w:val="00212D26"/>
    <w:rsid w:val="00215557"/>
    <w:rsid w:val="0021598B"/>
    <w:rsid w:val="00215AF6"/>
    <w:rsid w:val="002216C1"/>
    <w:rsid w:val="002232C4"/>
    <w:rsid w:val="00223C98"/>
    <w:rsid w:val="00224497"/>
    <w:rsid w:val="00227045"/>
    <w:rsid w:val="00232256"/>
    <w:rsid w:val="00233BED"/>
    <w:rsid w:val="0023415D"/>
    <w:rsid w:val="0024513B"/>
    <w:rsid w:val="00247EB2"/>
    <w:rsid w:val="00250C71"/>
    <w:rsid w:val="00251C53"/>
    <w:rsid w:val="002564E8"/>
    <w:rsid w:val="00267092"/>
    <w:rsid w:val="00267D01"/>
    <w:rsid w:val="00272187"/>
    <w:rsid w:val="00274C6B"/>
    <w:rsid w:val="002770CD"/>
    <w:rsid w:val="002803A7"/>
    <w:rsid w:val="002820CC"/>
    <w:rsid w:val="002821C4"/>
    <w:rsid w:val="00283FC9"/>
    <w:rsid w:val="00284D7D"/>
    <w:rsid w:val="00285B6F"/>
    <w:rsid w:val="002869B3"/>
    <w:rsid w:val="00292C36"/>
    <w:rsid w:val="00292E24"/>
    <w:rsid w:val="002930BB"/>
    <w:rsid w:val="00293D28"/>
    <w:rsid w:val="00293E03"/>
    <w:rsid w:val="00295A4F"/>
    <w:rsid w:val="00296C00"/>
    <w:rsid w:val="002A0203"/>
    <w:rsid w:val="002A11AF"/>
    <w:rsid w:val="002A38F3"/>
    <w:rsid w:val="002A4711"/>
    <w:rsid w:val="002A4CAB"/>
    <w:rsid w:val="002B32AF"/>
    <w:rsid w:val="002B4160"/>
    <w:rsid w:val="002B5DD4"/>
    <w:rsid w:val="002B6D71"/>
    <w:rsid w:val="002C000B"/>
    <w:rsid w:val="002C11BC"/>
    <w:rsid w:val="002C2C70"/>
    <w:rsid w:val="002C3817"/>
    <w:rsid w:val="002C4F92"/>
    <w:rsid w:val="002C6EB5"/>
    <w:rsid w:val="002C76E4"/>
    <w:rsid w:val="002D02B3"/>
    <w:rsid w:val="002D166C"/>
    <w:rsid w:val="002D29A3"/>
    <w:rsid w:val="002D3A86"/>
    <w:rsid w:val="002D692B"/>
    <w:rsid w:val="002E0139"/>
    <w:rsid w:val="002E0987"/>
    <w:rsid w:val="002E18BC"/>
    <w:rsid w:val="002E1AEB"/>
    <w:rsid w:val="002E234E"/>
    <w:rsid w:val="002E3B99"/>
    <w:rsid w:val="002E7249"/>
    <w:rsid w:val="002E78F3"/>
    <w:rsid w:val="002F0202"/>
    <w:rsid w:val="002F22A9"/>
    <w:rsid w:val="002F50EB"/>
    <w:rsid w:val="002F55D3"/>
    <w:rsid w:val="003001E7"/>
    <w:rsid w:val="00300C76"/>
    <w:rsid w:val="0030233C"/>
    <w:rsid w:val="00303A99"/>
    <w:rsid w:val="00310236"/>
    <w:rsid w:val="003127B1"/>
    <w:rsid w:val="00312CC2"/>
    <w:rsid w:val="003135FE"/>
    <w:rsid w:val="00313969"/>
    <w:rsid w:val="00315B99"/>
    <w:rsid w:val="00316246"/>
    <w:rsid w:val="00316B7E"/>
    <w:rsid w:val="00317FE2"/>
    <w:rsid w:val="00323E31"/>
    <w:rsid w:val="0032724B"/>
    <w:rsid w:val="00327379"/>
    <w:rsid w:val="00327AD4"/>
    <w:rsid w:val="0033056D"/>
    <w:rsid w:val="003307F1"/>
    <w:rsid w:val="00330AD5"/>
    <w:rsid w:val="003319FB"/>
    <w:rsid w:val="003322B8"/>
    <w:rsid w:val="003359D9"/>
    <w:rsid w:val="00336B88"/>
    <w:rsid w:val="00337456"/>
    <w:rsid w:val="00344C3C"/>
    <w:rsid w:val="00344E80"/>
    <w:rsid w:val="003455A5"/>
    <w:rsid w:val="00351120"/>
    <w:rsid w:val="00351884"/>
    <w:rsid w:val="00352715"/>
    <w:rsid w:val="00352F11"/>
    <w:rsid w:val="00360F50"/>
    <w:rsid w:val="00362473"/>
    <w:rsid w:val="00362F27"/>
    <w:rsid w:val="00365377"/>
    <w:rsid w:val="003700EB"/>
    <w:rsid w:val="00370D49"/>
    <w:rsid w:val="00371E91"/>
    <w:rsid w:val="003731E3"/>
    <w:rsid w:val="00374D3D"/>
    <w:rsid w:val="00376BD2"/>
    <w:rsid w:val="00381BC9"/>
    <w:rsid w:val="00382A8D"/>
    <w:rsid w:val="00383AA6"/>
    <w:rsid w:val="00384DF3"/>
    <w:rsid w:val="00384F91"/>
    <w:rsid w:val="00385121"/>
    <w:rsid w:val="00385586"/>
    <w:rsid w:val="00385F6A"/>
    <w:rsid w:val="00387127"/>
    <w:rsid w:val="00387816"/>
    <w:rsid w:val="00390399"/>
    <w:rsid w:val="00392808"/>
    <w:rsid w:val="00394244"/>
    <w:rsid w:val="003A02DB"/>
    <w:rsid w:val="003A0F08"/>
    <w:rsid w:val="003A11EE"/>
    <w:rsid w:val="003A128E"/>
    <w:rsid w:val="003A436B"/>
    <w:rsid w:val="003A613D"/>
    <w:rsid w:val="003B3E16"/>
    <w:rsid w:val="003B4006"/>
    <w:rsid w:val="003B4394"/>
    <w:rsid w:val="003C17B0"/>
    <w:rsid w:val="003C1F2A"/>
    <w:rsid w:val="003C1FF5"/>
    <w:rsid w:val="003C5CC5"/>
    <w:rsid w:val="003D18BD"/>
    <w:rsid w:val="003D1EB2"/>
    <w:rsid w:val="003D20D6"/>
    <w:rsid w:val="003D4712"/>
    <w:rsid w:val="003D6896"/>
    <w:rsid w:val="003D75CE"/>
    <w:rsid w:val="003D7680"/>
    <w:rsid w:val="003E0083"/>
    <w:rsid w:val="003E51F6"/>
    <w:rsid w:val="003E7590"/>
    <w:rsid w:val="003F1D19"/>
    <w:rsid w:val="003F2BA2"/>
    <w:rsid w:val="003F3481"/>
    <w:rsid w:val="003F4CA1"/>
    <w:rsid w:val="003F4F8C"/>
    <w:rsid w:val="003F5291"/>
    <w:rsid w:val="00400687"/>
    <w:rsid w:val="0040121E"/>
    <w:rsid w:val="004037D0"/>
    <w:rsid w:val="004064BB"/>
    <w:rsid w:val="00413549"/>
    <w:rsid w:val="00414990"/>
    <w:rsid w:val="00417F4D"/>
    <w:rsid w:val="00421EBF"/>
    <w:rsid w:val="00422B94"/>
    <w:rsid w:val="00422CA8"/>
    <w:rsid w:val="004230D9"/>
    <w:rsid w:val="00430CC0"/>
    <w:rsid w:val="00431C53"/>
    <w:rsid w:val="004335C3"/>
    <w:rsid w:val="00433951"/>
    <w:rsid w:val="004343D2"/>
    <w:rsid w:val="00434506"/>
    <w:rsid w:val="004345F6"/>
    <w:rsid w:val="00437534"/>
    <w:rsid w:val="00437E06"/>
    <w:rsid w:val="004411CC"/>
    <w:rsid w:val="004416C7"/>
    <w:rsid w:val="00441AAD"/>
    <w:rsid w:val="004463A7"/>
    <w:rsid w:val="00446B98"/>
    <w:rsid w:val="004470A8"/>
    <w:rsid w:val="00450488"/>
    <w:rsid w:val="004524B0"/>
    <w:rsid w:val="00455B19"/>
    <w:rsid w:val="0045691B"/>
    <w:rsid w:val="00456B9F"/>
    <w:rsid w:val="00457056"/>
    <w:rsid w:val="00457F42"/>
    <w:rsid w:val="00461E11"/>
    <w:rsid w:val="0046434A"/>
    <w:rsid w:val="004649D9"/>
    <w:rsid w:val="004702FD"/>
    <w:rsid w:val="00473AA4"/>
    <w:rsid w:val="00477B97"/>
    <w:rsid w:val="00481846"/>
    <w:rsid w:val="004818D3"/>
    <w:rsid w:val="00481CE1"/>
    <w:rsid w:val="00481D05"/>
    <w:rsid w:val="004837AF"/>
    <w:rsid w:val="0048572B"/>
    <w:rsid w:val="00486315"/>
    <w:rsid w:val="004876DD"/>
    <w:rsid w:val="00487835"/>
    <w:rsid w:val="00487B80"/>
    <w:rsid w:val="0049009B"/>
    <w:rsid w:val="004926F0"/>
    <w:rsid w:val="00494B2E"/>
    <w:rsid w:val="00495F58"/>
    <w:rsid w:val="00497871"/>
    <w:rsid w:val="00497E28"/>
    <w:rsid w:val="00497FCC"/>
    <w:rsid w:val="004A2671"/>
    <w:rsid w:val="004A31D2"/>
    <w:rsid w:val="004A335C"/>
    <w:rsid w:val="004A5DE5"/>
    <w:rsid w:val="004B039C"/>
    <w:rsid w:val="004B3CAC"/>
    <w:rsid w:val="004B470C"/>
    <w:rsid w:val="004B4B03"/>
    <w:rsid w:val="004B548A"/>
    <w:rsid w:val="004B576B"/>
    <w:rsid w:val="004B7637"/>
    <w:rsid w:val="004B7F3D"/>
    <w:rsid w:val="004C0412"/>
    <w:rsid w:val="004C4568"/>
    <w:rsid w:val="004C4698"/>
    <w:rsid w:val="004C72C4"/>
    <w:rsid w:val="004D3A23"/>
    <w:rsid w:val="004D6075"/>
    <w:rsid w:val="004E00C9"/>
    <w:rsid w:val="004E6ED7"/>
    <w:rsid w:val="004E718C"/>
    <w:rsid w:val="004F056A"/>
    <w:rsid w:val="004F0F2F"/>
    <w:rsid w:val="004F100A"/>
    <w:rsid w:val="004F6EC5"/>
    <w:rsid w:val="004F7C07"/>
    <w:rsid w:val="005031D1"/>
    <w:rsid w:val="005051EC"/>
    <w:rsid w:val="00505F85"/>
    <w:rsid w:val="005061B9"/>
    <w:rsid w:val="00506A34"/>
    <w:rsid w:val="005070A2"/>
    <w:rsid w:val="0051095D"/>
    <w:rsid w:val="00512283"/>
    <w:rsid w:val="0051235D"/>
    <w:rsid w:val="00512FB0"/>
    <w:rsid w:val="00512FF7"/>
    <w:rsid w:val="00521382"/>
    <w:rsid w:val="00522D0C"/>
    <w:rsid w:val="00524620"/>
    <w:rsid w:val="00533B6B"/>
    <w:rsid w:val="005373A1"/>
    <w:rsid w:val="005403D6"/>
    <w:rsid w:val="00540590"/>
    <w:rsid w:val="00540B36"/>
    <w:rsid w:val="00542791"/>
    <w:rsid w:val="00543844"/>
    <w:rsid w:val="00544C9A"/>
    <w:rsid w:val="005466D2"/>
    <w:rsid w:val="005476B3"/>
    <w:rsid w:val="00547E23"/>
    <w:rsid w:val="005500FD"/>
    <w:rsid w:val="00550EEC"/>
    <w:rsid w:val="00560E5D"/>
    <w:rsid w:val="00561D55"/>
    <w:rsid w:val="005630A9"/>
    <w:rsid w:val="00564302"/>
    <w:rsid w:val="005669A4"/>
    <w:rsid w:val="00566CF9"/>
    <w:rsid w:val="00567636"/>
    <w:rsid w:val="0057134A"/>
    <w:rsid w:val="00571694"/>
    <w:rsid w:val="00571753"/>
    <w:rsid w:val="005728A5"/>
    <w:rsid w:val="00573B08"/>
    <w:rsid w:val="00573EDE"/>
    <w:rsid w:val="00575B8C"/>
    <w:rsid w:val="00577410"/>
    <w:rsid w:val="00577B9A"/>
    <w:rsid w:val="00577D24"/>
    <w:rsid w:val="00580B3A"/>
    <w:rsid w:val="00582565"/>
    <w:rsid w:val="00583446"/>
    <w:rsid w:val="00584975"/>
    <w:rsid w:val="0058532F"/>
    <w:rsid w:val="005876B9"/>
    <w:rsid w:val="00590B30"/>
    <w:rsid w:val="00591E4D"/>
    <w:rsid w:val="00595936"/>
    <w:rsid w:val="0059757B"/>
    <w:rsid w:val="005A143A"/>
    <w:rsid w:val="005A17E6"/>
    <w:rsid w:val="005A24C1"/>
    <w:rsid w:val="005A386B"/>
    <w:rsid w:val="005A3CAC"/>
    <w:rsid w:val="005A428A"/>
    <w:rsid w:val="005A6388"/>
    <w:rsid w:val="005B00BC"/>
    <w:rsid w:val="005B0C40"/>
    <w:rsid w:val="005B473D"/>
    <w:rsid w:val="005C33E9"/>
    <w:rsid w:val="005C582E"/>
    <w:rsid w:val="005C5E20"/>
    <w:rsid w:val="005D019A"/>
    <w:rsid w:val="005D3C42"/>
    <w:rsid w:val="005D4EBD"/>
    <w:rsid w:val="005D6A71"/>
    <w:rsid w:val="005D7AE4"/>
    <w:rsid w:val="005E05B5"/>
    <w:rsid w:val="005E138C"/>
    <w:rsid w:val="005E2E0F"/>
    <w:rsid w:val="005E4392"/>
    <w:rsid w:val="005E4B5E"/>
    <w:rsid w:val="005E6ADE"/>
    <w:rsid w:val="005E71FD"/>
    <w:rsid w:val="005F7C4D"/>
    <w:rsid w:val="00600168"/>
    <w:rsid w:val="0060062D"/>
    <w:rsid w:val="00601F06"/>
    <w:rsid w:val="0060275F"/>
    <w:rsid w:val="006041FF"/>
    <w:rsid w:val="0060546A"/>
    <w:rsid w:val="00606940"/>
    <w:rsid w:val="0060750B"/>
    <w:rsid w:val="0060785B"/>
    <w:rsid w:val="006079C6"/>
    <w:rsid w:val="0061032E"/>
    <w:rsid w:val="0061048C"/>
    <w:rsid w:val="00611E9A"/>
    <w:rsid w:val="0061501A"/>
    <w:rsid w:val="0061671E"/>
    <w:rsid w:val="00620F88"/>
    <w:rsid w:val="006210A2"/>
    <w:rsid w:val="00623AFD"/>
    <w:rsid w:val="006261DE"/>
    <w:rsid w:val="00630B09"/>
    <w:rsid w:val="00630F1E"/>
    <w:rsid w:val="00634747"/>
    <w:rsid w:val="00635046"/>
    <w:rsid w:val="006352F2"/>
    <w:rsid w:val="00640114"/>
    <w:rsid w:val="00640A18"/>
    <w:rsid w:val="00642F6F"/>
    <w:rsid w:val="006451D5"/>
    <w:rsid w:val="00645AD8"/>
    <w:rsid w:val="00646EE9"/>
    <w:rsid w:val="0065104D"/>
    <w:rsid w:val="0065115D"/>
    <w:rsid w:val="006540E3"/>
    <w:rsid w:val="006546C0"/>
    <w:rsid w:val="00654795"/>
    <w:rsid w:val="0065595B"/>
    <w:rsid w:val="00660584"/>
    <w:rsid w:val="00661975"/>
    <w:rsid w:val="006658FB"/>
    <w:rsid w:val="0066744B"/>
    <w:rsid w:val="006715C0"/>
    <w:rsid w:val="006719C6"/>
    <w:rsid w:val="0068110F"/>
    <w:rsid w:val="00682DA3"/>
    <w:rsid w:val="00683B9B"/>
    <w:rsid w:val="00686D3A"/>
    <w:rsid w:val="00692012"/>
    <w:rsid w:val="0069205A"/>
    <w:rsid w:val="00695FF0"/>
    <w:rsid w:val="00696A69"/>
    <w:rsid w:val="006970B5"/>
    <w:rsid w:val="00697448"/>
    <w:rsid w:val="006A41DA"/>
    <w:rsid w:val="006B0126"/>
    <w:rsid w:val="006B306A"/>
    <w:rsid w:val="006B3E8B"/>
    <w:rsid w:val="006B5955"/>
    <w:rsid w:val="006B6639"/>
    <w:rsid w:val="006B6B92"/>
    <w:rsid w:val="006C0B11"/>
    <w:rsid w:val="006C3A3D"/>
    <w:rsid w:val="006C475D"/>
    <w:rsid w:val="006C5B60"/>
    <w:rsid w:val="006C6AA2"/>
    <w:rsid w:val="006D0E62"/>
    <w:rsid w:val="006D31BA"/>
    <w:rsid w:val="006D4313"/>
    <w:rsid w:val="006D493F"/>
    <w:rsid w:val="006D5001"/>
    <w:rsid w:val="006D6194"/>
    <w:rsid w:val="006E0928"/>
    <w:rsid w:val="006E120F"/>
    <w:rsid w:val="006E3034"/>
    <w:rsid w:val="006E4C80"/>
    <w:rsid w:val="006E4D90"/>
    <w:rsid w:val="006E70A3"/>
    <w:rsid w:val="006E769C"/>
    <w:rsid w:val="006F0B31"/>
    <w:rsid w:val="006F0F67"/>
    <w:rsid w:val="006F10FA"/>
    <w:rsid w:val="006F1A35"/>
    <w:rsid w:val="006F4466"/>
    <w:rsid w:val="006F4F91"/>
    <w:rsid w:val="006F7D7C"/>
    <w:rsid w:val="007002BC"/>
    <w:rsid w:val="00700FD1"/>
    <w:rsid w:val="00701634"/>
    <w:rsid w:val="00704E7D"/>
    <w:rsid w:val="007064F4"/>
    <w:rsid w:val="007065D7"/>
    <w:rsid w:val="0070670A"/>
    <w:rsid w:val="0070703E"/>
    <w:rsid w:val="007075C9"/>
    <w:rsid w:val="00710F93"/>
    <w:rsid w:val="00712D90"/>
    <w:rsid w:val="007137B0"/>
    <w:rsid w:val="00713CF6"/>
    <w:rsid w:val="00723418"/>
    <w:rsid w:val="0072356A"/>
    <w:rsid w:val="00724132"/>
    <w:rsid w:val="00727529"/>
    <w:rsid w:val="00727C3D"/>
    <w:rsid w:val="00730E62"/>
    <w:rsid w:val="00733B13"/>
    <w:rsid w:val="00741421"/>
    <w:rsid w:val="00741580"/>
    <w:rsid w:val="00741642"/>
    <w:rsid w:val="00742E30"/>
    <w:rsid w:val="0074481E"/>
    <w:rsid w:val="00745B2B"/>
    <w:rsid w:val="00745C43"/>
    <w:rsid w:val="0074616E"/>
    <w:rsid w:val="00746AC3"/>
    <w:rsid w:val="007473DF"/>
    <w:rsid w:val="0075031B"/>
    <w:rsid w:val="00751B1B"/>
    <w:rsid w:val="0075306D"/>
    <w:rsid w:val="0075322D"/>
    <w:rsid w:val="00757719"/>
    <w:rsid w:val="00757E8C"/>
    <w:rsid w:val="00760B1D"/>
    <w:rsid w:val="0076222E"/>
    <w:rsid w:val="00764266"/>
    <w:rsid w:val="007644DC"/>
    <w:rsid w:val="00765E1F"/>
    <w:rsid w:val="00765F8A"/>
    <w:rsid w:val="00771F95"/>
    <w:rsid w:val="0077368D"/>
    <w:rsid w:val="00775487"/>
    <w:rsid w:val="0077722E"/>
    <w:rsid w:val="007778C1"/>
    <w:rsid w:val="0078040F"/>
    <w:rsid w:val="007805DF"/>
    <w:rsid w:val="00781975"/>
    <w:rsid w:val="00782844"/>
    <w:rsid w:val="00786495"/>
    <w:rsid w:val="00790829"/>
    <w:rsid w:val="00791F65"/>
    <w:rsid w:val="007933CA"/>
    <w:rsid w:val="00795A5F"/>
    <w:rsid w:val="00797156"/>
    <w:rsid w:val="007979AA"/>
    <w:rsid w:val="00797B19"/>
    <w:rsid w:val="007A25D5"/>
    <w:rsid w:val="007A2F36"/>
    <w:rsid w:val="007A3979"/>
    <w:rsid w:val="007A449F"/>
    <w:rsid w:val="007A5684"/>
    <w:rsid w:val="007A60D6"/>
    <w:rsid w:val="007A6DC3"/>
    <w:rsid w:val="007B057B"/>
    <w:rsid w:val="007B1441"/>
    <w:rsid w:val="007B3FFF"/>
    <w:rsid w:val="007B47CC"/>
    <w:rsid w:val="007B4E9C"/>
    <w:rsid w:val="007B6FB7"/>
    <w:rsid w:val="007B7EC3"/>
    <w:rsid w:val="007C11EA"/>
    <w:rsid w:val="007C2886"/>
    <w:rsid w:val="007C5172"/>
    <w:rsid w:val="007C6C4E"/>
    <w:rsid w:val="007D1301"/>
    <w:rsid w:val="007D292F"/>
    <w:rsid w:val="007D334A"/>
    <w:rsid w:val="007D4212"/>
    <w:rsid w:val="007D423D"/>
    <w:rsid w:val="007D67CA"/>
    <w:rsid w:val="007D6833"/>
    <w:rsid w:val="007D7F95"/>
    <w:rsid w:val="007E04FA"/>
    <w:rsid w:val="007E2672"/>
    <w:rsid w:val="007E569B"/>
    <w:rsid w:val="007E6983"/>
    <w:rsid w:val="007F45D3"/>
    <w:rsid w:val="007F57E0"/>
    <w:rsid w:val="007F6BD6"/>
    <w:rsid w:val="007F7A31"/>
    <w:rsid w:val="007F7C63"/>
    <w:rsid w:val="00801857"/>
    <w:rsid w:val="00802148"/>
    <w:rsid w:val="00802346"/>
    <w:rsid w:val="00804209"/>
    <w:rsid w:val="008044CD"/>
    <w:rsid w:val="008055BC"/>
    <w:rsid w:val="00807084"/>
    <w:rsid w:val="00807C30"/>
    <w:rsid w:val="00810F32"/>
    <w:rsid w:val="0081383C"/>
    <w:rsid w:val="00821AEC"/>
    <w:rsid w:val="008226BE"/>
    <w:rsid w:val="00830A15"/>
    <w:rsid w:val="008360BB"/>
    <w:rsid w:val="00836AE8"/>
    <w:rsid w:val="00841527"/>
    <w:rsid w:val="00842D93"/>
    <w:rsid w:val="00847F25"/>
    <w:rsid w:val="008502E2"/>
    <w:rsid w:val="0085102E"/>
    <w:rsid w:val="008513EA"/>
    <w:rsid w:val="008516FD"/>
    <w:rsid w:val="008532C3"/>
    <w:rsid w:val="00853D4C"/>
    <w:rsid w:val="008555E1"/>
    <w:rsid w:val="00856286"/>
    <w:rsid w:val="008576CB"/>
    <w:rsid w:val="00857C23"/>
    <w:rsid w:val="0086117E"/>
    <w:rsid w:val="00862DED"/>
    <w:rsid w:val="00865164"/>
    <w:rsid w:val="00865D72"/>
    <w:rsid w:val="00867781"/>
    <w:rsid w:val="00880DB5"/>
    <w:rsid w:val="008818D4"/>
    <w:rsid w:val="00882C05"/>
    <w:rsid w:val="00883A18"/>
    <w:rsid w:val="00885BAF"/>
    <w:rsid w:val="00890551"/>
    <w:rsid w:val="00892E6C"/>
    <w:rsid w:val="00892EDA"/>
    <w:rsid w:val="00895A91"/>
    <w:rsid w:val="00895F56"/>
    <w:rsid w:val="008977AB"/>
    <w:rsid w:val="008A41D6"/>
    <w:rsid w:val="008A51F9"/>
    <w:rsid w:val="008A59C5"/>
    <w:rsid w:val="008A6E05"/>
    <w:rsid w:val="008A7126"/>
    <w:rsid w:val="008A7160"/>
    <w:rsid w:val="008B1452"/>
    <w:rsid w:val="008B2341"/>
    <w:rsid w:val="008B41C4"/>
    <w:rsid w:val="008B49FC"/>
    <w:rsid w:val="008B516D"/>
    <w:rsid w:val="008B667E"/>
    <w:rsid w:val="008C085C"/>
    <w:rsid w:val="008C088F"/>
    <w:rsid w:val="008C0EB0"/>
    <w:rsid w:val="008C3B4B"/>
    <w:rsid w:val="008D0813"/>
    <w:rsid w:val="008D1409"/>
    <w:rsid w:val="008D1E98"/>
    <w:rsid w:val="008E0745"/>
    <w:rsid w:val="008E106E"/>
    <w:rsid w:val="008E10B2"/>
    <w:rsid w:val="008E3395"/>
    <w:rsid w:val="008E6964"/>
    <w:rsid w:val="008E6EBA"/>
    <w:rsid w:val="008E7650"/>
    <w:rsid w:val="008F0D40"/>
    <w:rsid w:val="008F1AAE"/>
    <w:rsid w:val="008F2408"/>
    <w:rsid w:val="008F5BDB"/>
    <w:rsid w:val="00901DEB"/>
    <w:rsid w:val="009073DD"/>
    <w:rsid w:val="00912C9E"/>
    <w:rsid w:val="00913A56"/>
    <w:rsid w:val="0091442F"/>
    <w:rsid w:val="00915C06"/>
    <w:rsid w:val="00915F41"/>
    <w:rsid w:val="00916F4A"/>
    <w:rsid w:val="00921196"/>
    <w:rsid w:val="00922582"/>
    <w:rsid w:val="00922AFD"/>
    <w:rsid w:val="009260DA"/>
    <w:rsid w:val="00926B5F"/>
    <w:rsid w:val="0093140E"/>
    <w:rsid w:val="00932388"/>
    <w:rsid w:val="009323B2"/>
    <w:rsid w:val="00934132"/>
    <w:rsid w:val="00934215"/>
    <w:rsid w:val="00934A1D"/>
    <w:rsid w:val="00935E80"/>
    <w:rsid w:val="00941047"/>
    <w:rsid w:val="009410BF"/>
    <w:rsid w:val="009454DB"/>
    <w:rsid w:val="00947369"/>
    <w:rsid w:val="009479D9"/>
    <w:rsid w:val="009502AD"/>
    <w:rsid w:val="00951FA5"/>
    <w:rsid w:val="00953B73"/>
    <w:rsid w:val="00954A5D"/>
    <w:rsid w:val="009552E9"/>
    <w:rsid w:val="0095542C"/>
    <w:rsid w:val="00957007"/>
    <w:rsid w:val="0096052C"/>
    <w:rsid w:val="00962251"/>
    <w:rsid w:val="00962447"/>
    <w:rsid w:val="00963B70"/>
    <w:rsid w:val="00963DC2"/>
    <w:rsid w:val="00965F73"/>
    <w:rsid w:val="0096626A"/>
    <w:rsid w:val="00967669"/>
    <w:rsid w:val="00967A91"/>
    <w:rsid w:val="00967E46"/>
    <w:rsid w:val="0097286C"/>
    <w:rsid w:val="00973151"/>
    <w:rsid w:val="00973FEB"/>
    <w:rsid w:val="00975E01"/>
    <w:rsid w:val="00981048"/>
    <w:rsid w:val="00982081"/>
    <w:rsid w:val="009838AC"/>
    <w:rsid w:val="009841B9"/>
    <w:rsid w:val="009852EA"/>
    <w:rsid w:val="00985926"/>
    <w:rsid w:val="009902F7"/>
    <w:rsid w:val="0099425F"/>
    <w:rsid w:val="0099731B"/>
    <w:rsid w:val="009A1C5D"/>
    <w:rsid w:val="009A2AF8"/>
    <w:rsid w:val="009A33BB"/>
    <w:rsid w:val="009A653A"/>
    <w:rsid w:val="009A67D2"/>
    <w:rsid w:val="009B06F5"/>
    <w:rsid w:val="009B122B"/>
    <w:rsid w:val="009B6A19"/>
    <w:rsid w:val="009B72B1"/>
    <w:rsid w:val="009B7883"/>
    <w:rsid w:val="009B7A3F"/>
    <w:rsid w:val="009C242B"/>
    <w:rsid w:val="009C447E"/>
    <w:rsid w:val="009C6351"/>
    <w:rsid w:val="009D046A"/>
    <w:rsid w:val="009D0971"/>
    <w:rsid w:val="009D1221"/>
    <w:rsid w:val="009D1EEE"/>
    <w:rsid w:val="009D2889"/>
    <w:rsid w:val="009D5895"/>
    <w:rsid w:val="009D5910"/>
    <w:rsid w:val="009D7B26"/>
    <w:rsid w:val="009E1699"/>
    <w:rsid w:val="009E1886"/>
    <w:rsid w:val="009E2D2D"/>
    <w:rsid w:val="009E377B"/>
    <w:rsid w:val="009E4197"/>
    <w:rsid w:val="009E4822"/>
    <w:rsid w:val="009F0202"/>
    <w:rsid w:val="009F1EFF"/>
    <w:rsid w:val="009F2938"/>
    <w:rsid w:val="009F2F99"/>
    <w:rsid w:val="009F6FBC"/>
    <w:rsid w:val="009F75AD"/>
    <w:rsid w:val="00A006C5"/>
    <w:rsid w:val="00A020BD"/>
    <w:rsid w:val="00A02B3F"/>
    <w:rsid w:val="00A030A1"/>
    <w:rsid w:val="00A05472"/>
    <w:rsid w:val="00A0571B"/>
    <w:rsid w:val="00A05907"/>
    <w:rsid w:val="00A05D5E"/>
    <w:rsid w:val="00A05EC7"/>
    <w:rsid w:val="00A0731D"/>
    <w:rsid w:val="00A07F19"/>
    <w:rsid w:val="00A11FC9"/>
    <w:rsid w:val="00A21E29"/>
    <w:rsid w:val="00A25116"/>
    <w:rsid w:val="00A260DF"/>
    <w:rsid w:val="00A2730A"/>
    <w:rsid w:val="00A323BF"/>
    <w:rsid w:val="00A326D5"/>
    <w:rsid w:val="00A33983"/>
    <w:rsid w:val="00A36982"/>
    <w:rsid w:val="00A379F5"/>
    <w:rsid w:val="00A417A0"/>
    <w:rsid w:val="00A437DB"/>
    <w:rsid w:val="00A44CB4"/>
    <w:rsid w:val="00A45F95"/>
    <w:rsid w:val="00A47290"/>
    <w:rsid w:val="00A47515"/>
    <w:rsid w:val="00A51103"/>
    <w:rsid w:val="00A53E25"/>
    <w:rsid w:val="00A55696"/>
    <w:rsid w:val="00A55D6F"/>
    <w:rsid w:val="00A55F01"/>
    <w:rsid w:val="00A6082F"/>
    <w:rsid w:val="00A65830"/>
    <w:rsid w:val="00A661AB"/>
    <w:rsid w:val="00A769B1"/>
    <w:rsid w:val="00A77594"/>
    <w:rsid w:val="00A80747"/>
    <w:rsid w:val="00A80FB1"/>
    <w:rsid w:val="00A80FD3"/>
    <w:rsid w:val="00A812C8"/>
    <w:rsid w:val="00A81943"/>
    <w:rsid w:val="00A8367A"/>
    <w:rsid w:val="00A83C6F"/>
    <w:rsid w:val="00A87BC5"/>
    <w:rsid w:val="00A90036"/>
    <w:rsid w:val="00A90FD1"/>
    <w:rsid w:val="00A94A8E"/>
    <w:rsid w:val="00A96E7B"/>
    <w:rsid w:val="00A97F12"/>
    <w:rsid w:val="00AA19F3"/>
    <w:rsid w:val="00AA341D"/>
    <w:rsid w:val="00AA3DA5"/>
    <w:rsid w:val="00AA601D"/>
    <w:rsid w:val="00AA6528"/>
    <w:rsid w:val="00AB1D1A"/>
    <w:rsid w:val="00AB20FC"/>
    <w:rsid w:val="00AB4308"/>
    <w:rsid w:val="00AB4947"/>
    <w:rsid w:val="00AB50AF"/>
    <w:rsid w:val="00AB6440"/>
    <w:rsid w:val="00AC0F3A"/>
    <w:rsid w:val="00AC3BBF"/>
    <w:rsid w:val="00AC745E"/>
    <w:rsid w:val="00AC7A34"/>
    <w:rsid w:val="00AD07DD"/>
    <w:rsid w:val="00AD169D"/>
    <w:rsid w:val="00AD1D02"/>
    <w:rsid w:val="00AD1F14"/>
    <w:rsid w:val="00AD310C"/>
    <w:rsid w:val="00AD5EA7"/>
    <w:rsid w:val="00AD6513"/>
    <w:rsid w:val="00AE0FE8"/>
    <w:rsid w:val="00AE23FD"/>
    <w:rsid w:val="00AE45C2"/>
    <w:rsid w:val="00AE488D"/>
    <w:rsid w:val="00AE51B4"/>
    <w:rsid w:val="00AE68F5"/>
    <w:rsid w:val="00AF1245"/>
    <w:rsid w:val="00AF23B5"/>
    <w:rsid w:val="00AF3DFF"/>
    <w:rsid w:val="00AF5781"/>
    <w:rsid w:val="00AF6AED"/>
    <w:rsid w:val="00AF7A5D"/>
    <w:rsid w:val="00B00884"/>
    <w:rsid w:val="00B010B6"/>
    <w:rsid w:val="00B017B6"/>
    <w:rsid w:val="00B04802"/>
    <w:rsid w:val="00B05160"/>
    <w:rsid w:val="00B069A2"/>
    <w:rsid w:val="00B06A43"/>
    <w:rsid w:val="00B07577"/>
    <w:rsid w:val="00B0788A"/>
    <w:rsid w:val="00B11C70"/>
    <w:rsid w:val="00B126DD"/>
    <w:rsid w:val="00B12FFA"/>
    <w:rsid w:val="00B13614"/>
    <w:rsid w:val="00B14992"/>
    <w:rsid w:val="00B166D0"/>
    <w:rsid w:val="00B1742D"/>
    <w:rsid w:val="00B20466"/>
    <w:rsid w:val="00B239A9"/>
    <w:rsid w:val="00B24182"/>
    <w:rsid w:val="00B311CB"/>
    <w:rsid w:val="00B33582"/>
    <w:rsid w:val="00B3490D"/>
    <w:rsid w:val="00B35E6B"/>
    <w:rsid w:val="00B4305C"/>
    <w:rsid w:val="00B4414E"/>
    <w:rsid w:val="00B54633"/>
    <w:rsid w:val="00B54916"/>
    <w:rsid w:val="00B5573D"/>
    <w:rsid w:val="00B568DA"/>
    <w:rsid w:val="00B56A70"/>
    <w:rsid w:val="00B56D4C"/>
    <w:rsid w:val="00B56F26"/>
    <w:rsid w:val="00B57C1C"/>
    <w:rsid w:val="00B6189D"/>
    <w:rsid w:val="00B621F0"/>
    <w:rsid w:val="00B63576"/>
    <w:rsid w:val="00B64493"/>
    <w:rsid w:val="00B64523"/>
    <w:rsid w:val="00B66CE9"/>
    <w:rsid w:val="00B66E84"/>
    <w:rsid w:val="00B67E27"/>
    <w:rsid w:val="00B7028D"/>
    <w:rsid w:val="00B71233"/>
    <w:rsid w:val="00B71880"/>
    <w:rsid w:val="00B72064"/>
    <w:rsid w:val="00B75000"/>
    <w:rsid w:val="00B7511B"/>
    <w:rsid w:val="00B76B78"/>
    <w:rsid w:val="00B7728F"/>
    <w:rsid w:val="00B772E7"/>
    <w:rsid w:val="00B777D1"/>
    <w:rsid w:val="00B8244F"/>
    <w:rsid w:val="00B832FA"/>
    <w:rsid w:val="00B83B17"/>
    <w:rsid w:val="00B84178"/>
    <w:rsid w:val="00B84A6D"/>
    <w:rsid w:val="00B867EC"/>
    <w:rsid w:val="00B905F7"/>
    <w:rsid w:val="00B91B70"/>
    <w:rsid w:val="00B93CE3"/>
    <w:rsid w:val="00B951CF"/>
    <w:rsid w:val="00BA064C"/>
    <w:rsid w:val="00BA13BD"/>
    <w:rsid w:val="00BA1CF7"/>
    <w:rsid w:val="00BA4374"/>
    <w:rsid w:val="00BA48B6"/>
    <w:rsid w:val="00BA539F"/>
    <w:rsid w:val="00BA59ED"/>
    <w:rsid w:val="00BA733C"/>
    <w:rsid w:val="00BB0D59"/>
    <w:rsid w:val="00BB0E98"/>
    <w:rsid w:val="00BB0EDF"/>
    <w:rsid w:val="00BB2604"/>
    <w:rsid w:val="00BB2736"/>
    <w:rsid w:val="00BB27E2"/>
    <w:rsid w:val="00BB444C"/>
    <w:rsid w:val="00BC04F5"/>
    <w:rsid w:val="00BC083F"/>
    <w:rsid w:val="00BC116E"/>
    <w:rsid w:val="00BC5821"/>
    <w:rsid w:val="00BD02D5"/>
    <w:rsid w:val="00BD0A63"/>
    <w:rsid w:val="00BD2F45"/>
    <w:rsid w:val="00BD4313"/>
    <w:rsid w:val="00BD5A6D"/>
    <w:rsid w:val="00BD5CAB"/>
    <w:rsid w:val="00BD5CE5"/>
    <w:rsid w:val="00BD68B3"/>
    <w:rsid w:val="00BD781E"/>
    <w:rsid w:val="00BE3AA4"/>
    <w:rsid w:val="00BE4C37"/>
    <w:rsid w:val="00BE4D7D"/>
    <w:rsid w:val="00BE7E54"/>
    <w:rsid w:val="00BF163E"/>
    <w:rsid w:val="00BF4D6A"/>
    <w:rsid w:val="00BF69C7"/>
    <w:rsid w:val="00BF7EC6"/>
    <w:rsid w:val="00C00089"/>
    <w:rsid w:val="00C0156D"/>
    <w:rsid w:val="00C036DC"/>
    <w:rsid w:val="00C07D0C"/>
    <w:rsid w:val="00C1004C"/>
    <w:rsid w:val="00C10099"/>
    <w:rsid w:val="00C10C0E"/>
    <w:rsid w:val="00C11E1C"/>
    <w:rsid w:val="00C124ED"/>
    <w:rsid w:val="00C126CE"/>
    <w:rsid w:val="00C13187"/>
    <w:rsid w:val="00C136AA"/>
    <w:rsid w:val="00C13F88"/>
    <w:rsid w:val="00C15FD4"/>
    <w:rsid w:val="00C17926"/>
    <w:rsid w:val="00C20082"/>
    <w:rsid w:val="00C2061E"/>
    <w:rsid w:val="00C21A39"/>
    <w:rsid w:val="00C23416"/>
    <w:rsid w:val="00C2388E"/>
    <w:rsid w:val="00C23B36"/>
    <w:rsid w:val="00C266EB"/>
    <w:rsid w:val="00C35CD0"/>
    <w:rsid w:val="00C3629B"/>
    <w:rsid w:val="00C43A17"/>
    <w:rsid w:val="00C43C85"/>
    <w:rsid w:val="00C44DCF"/>
    <w:rsid w:val="00C45579"/>
    <w:rsid w:val="00C50FF0"/>
    <w:rsid w:val="00C52C80"/>
    <w:rsid w:val="00C54EC2"/>
    <w:rsid w:val="00C55044"/>
    <w:rsid w:val="00C5507B"/>
    <w:rsid w:val="00C57E78"/>
    <w:rsid w:val="00C61F5E"/>
    <w:rsid w:val="00C62EA8"/>
    <w:rsid w:val="00C65D25"/>
    <w:rsid w:val="00C65F31"/>
    <w:rsid w:val="00C66241"/>
    <w:rsid w:val="00C672F9"/>
    <w:rsid w:val="00C73F95"/>
    <w:rsid w:val="00C749F8"/>
    <w:rsid w:val="00C76201"/>
    <w:rsid w:val="00C76202"/>
    <w:rsid w:val="00C81512"/>
    <w:rsid w:val="00C82935"/>
    <w:rsid w:val="00C85782"/>
    <w:rsid w:val="00C85D32"/>
    <w:rsid w:val="00C90D5B"/>
    <w:rsid w:val="00C94EE2"/>
    <w:rsid w:val="00C96205"/>
    <w:rsid w:val="00CA0738"/>
    <w:rsid w:val="00CA2A63"/>
    <w:rsid w:val="00CA3C2D"/>
    <w:rsid w:val="00CA6CAB"/>
    <w:rsid w:val="00CB0F45"/>
    <w:rsid w:val="00CB51AE"/>
    <w:rsid w:val="00CB6027"/>
    <w:rsid w:val="00CB7AB1"/>
    <w:rsid w:val="00CC04CF"/>
    <w:rsid w:val="00CC1C2B"/>
    <w:rsid w:val="00CC21F9"/>
    <w:rsid w:val="00CC2616"/>
    <w:rsid w:val="00CC4959"/>
    <w:rsid w:val="00CD0874"/>
    <w:rsid w:val="00CD26D8"/>
    <w:rsid w:val="00CD403F"/>
    <w:rsid w:val="00CD42F3"/>
    <w:rsid w:val="00CD4DA9"/>
    <w:rsid w:val="00CD61AF"/>
    <w:rsid w:val="00CD6853"/>
    <w:rsid w:val="00CD6887"/>
    <w:rsid w:val="00CE05F8"/>
    <w:rsid w:val="00CE2F17"/>
    <w:rsid w:val="00CE4FBF"/>
    <w:rsid w:val="00CE5C5E"/>
    <w:rsid w:val="00CE6E09"/>
    <w:rsid w:val="00CF2863"/>
    <w:rsid w:val="00CF5E35"/>
    <w:rsid w:val="00CF6855"/>
    <w:rsid w:val="00D00F53"/>
    <w:rsid w:val="00D01C97"/>
    <w:rsid w:val="00D041EC"/>
    <w:rsid w:val="00D04A3B"/>
    <w:rsid w:val="00D0727C"/>
    <w:rsid w:val="00D07C80"/>
    <w:rsid w:val="00D11AD3"/>
    <w:rsid w:val="00D1291B"/>
    <w:rsid w:val="00D1527B"/>
    <w:rsid w:val="00D15770"/>
    <w:rsid w:val="00D16DAB"/>
    <w:rsid w:val="00D20035"/>
    <w:rsid w:val="00D20FD1"/>
    <w:rsid w:val="00D20FE1"/>
    <w:rsid w:val="00D22FC0"/>
    <w:rsid w:val="00D23545"/>
    <w:rsid w:val="00D274FF"/>
    <w:rsid w:val="00D2775A"/>
    <w:rsid w:val="00D31F5B"/>
    <w:rsid w:val="00D35569"/>
    <w:rsid w:val="00D3689E"/>
    <w:rsid w:val="00D37313"/>
    <w:rsid w:val="00D37414"/>
    <w:rsid w:val="00D37A2A"/>
    <w:rsid w:val="00D37F87"/>
    <w:rsid w:val="00D42C40"/>
    <w:rsid w:val="00D42E43"/>
    <w:rsid w:val="00D43596"/>
    <w:rsid w:val="00D4613A"/>
    <w:rsid w:val="00D46475"/>
    <w:rsid w:val="00D46FED"/>
    <w:rsid w:val="00D478AC"/>
    <w:rsid w:val="00D50BD9"/>
    <w:rsid w:val="00D512D5"/>
    <w:rsid w:val="00D5254D"/>
    <w:rsid w:val="00D541B9"/>
    <w:rsid w:val="00D5429D"/>
    <w:rsid w:val="00D56732"/>
    <w:rsid w:val="00D573E8"/>
    <w:rsid w:val="00D60179"/>
    <w:rsid w:val="00D605D7"/>
    <w:rsid w:val="00D62FD8"/>
    <w:rsid w:val="00D6352A"/>
    <w:rsid w:val="00D63C0C"/>
    <w:rsid w:val="00D646A2"/>
    <w:rsid w:val="00D6728F"/>
    <w:rsid w:val="00D70CB5"/>
    <w:rsid w:val="00D71A4F"/>
    <w:rsid w:val="00D72A9D"/>
    <w:rsid w:val="00D75E6F"/>
    <w:rsid w:val="00D80109"/>
    <w:rsid w:val="00D8097A"/>
    <w:rsid w:val="00D81CBA"/>
    <w:rsid w:val="00D84E29"/>
    <w:rsid w:val="00D90A8F"/>
    <w:rsid w:val="00D9246E"/>
    <w:rsid w:val="00D952B8"/>
    <w:rsid w:val="00D957A7"/>
    <w:rsid w:val="00D96ED8"/>
    <w:rsid w:val="00DA7250"/>
    <w:rsid w:val="00DB0008"/>
    <w:rsid w:val="00DB3CDE"/>
    <w:rsid w:val="00DB3D09"/>
    <w:rsid w:val="00DB4AC8"/>
    <w:rsid w:val="00DB4C2F"/>
    <w:rsid w:val="00DB6901"/>
    <w:rsid w:val="00DB737D"/>
    <w:rsid w:val="00DC14A8"/>
    <w:rsid w:val="00DC4C01"/>
    <w:rsid w:val="00DC73B5"/>
    <w:rsid w:val="00DC7928"/>
    <w:rsid w:val="00DD2882"/>
    <w:rsid w:val="00DD331C"/>
    <w:rsid w:val="00DD5035"/>
    <w:rsid w:val="00DD50D8"/>
    <w:rsid w:val="00DD5B7E"/>
    <w:rsid w:val="00DD6585"/>
    <w:rsid w:val="00DD6BD1"/>
    <w:rsid w:val="00DE4D11"/>
    <w:rsid w:val="00DE504C"/>
    <w:rsid w:val="00DE5C51"/>
    <w:rsid w:val="00DE6F88"/>
    <w:rsid w:val="00DE7DAB"/>
    <w:rsid w:val="00DF3C7B"/>
    <w:rsid w:val="00DF6421"/>
    <w:rsid w:val="00E031D2"/>
    <w:rsid w:val="00E03AD1"/>
    <w:rsid w:val="00E04CD4"/>
    <w:rsid w:val="00E05604"/>
    <w:rsid w:val="00E101FE"/>
    <w:rsid w:val="00E13E72"/>
    <w:rsid w:val="00E14663"/>
    <w:rsid w:val="00E1504B"/>
    <w:rsid w:val="00E15A1A"/>
    <w:rsid w:val="00E16916"/>
    <w:rsid w:val="00E17442"/>
    <w:rsid w:val="00E25ACC"/>
    <w:rsid w:val="00E2634B"/>
    <w:rsid w:val="00E26864"/>
    <w:rsid w:val="00E31099"/>
    <w:rsid w:val="00E32558"/>
    <w:rsid w:val="00E364FD"/>
    <w:rsid w:val="00E37BCB"/>
    <w:rsid w:val="00E42C8D"/>
    <w:rsid w:val="00E44142"/>
    <w:rsid w:val="00E50625"/>
    <w:rsid w:val="00E51EFF"/>
    <w:rsid w:val="00E5220D"/>
    <w:rsid w:val="00E522AD"/>
    <w:rsid w:val="00E5331C"/>
    <w:rsid w:val="00E533AA"/>
    <w:rsid w:val="00E5386D"/>
    <w:rsid w:val="00E53C6E"/>
    <w:rsid w:val="00E56ED3"/>
    <w:rsid w:val="00E61E29"/>
    <w:rsid w:val="00E6329C"/>
    <w:rsid w:val="00E633C5"/>
    <w:rsid w:val="00E66D04"/>
    <w:rsid w:val="00E6770C"/>
    <w:rsid w:val="00E67B47"/>
    <w:rsid w:val="00E70848"/>
    <w:rsid w:val="00E71B4D"/>
    <w:rsid w:val="00E71C37"/>
    <w:rsid w:val="00E738DC"/>
    <w:rsid w:val="00E74C36"/>
    <w:rsid w:val="00E76CB1"/>
    <w:rsid w:val="00E776A6"/>
    <w:rsid w:val="00E83129"/>
    <w:rsid w:val="00E84852"/>
    <w:rsid w:val="00E84BB4"/>
    <w:rsid w:val="00E92035"/>
    <w:rsid w:val="00E93EFE"/>
    <w:rsid w:val="00E940EF"/>
    <w:rsid w:val="00E95A7E"/>
    <w:rsid w:val="00E96034"/>
    <w:rsid w:val="00EA04E0"/>
    <w:rsid w:val="00EA10C7"/>
    <w:rsid w:val="00EA214F"/>
    <w:rsid w:val="00EA250D"/>
    <w:rsid w:val="00EA4BDB"/>
    <w:rsid w:val="00EA57D9"/>
    <w:rsid w:val="00EA72EF"/>
    <w:rsid w:val="00EA7786"/>
    <w:rsid w:val="00EB1944"/>
    <w:rsid w:val="00EB2C14"/>
    <w:rsid w:val="00EB3689"/>
    <w:rsid w:val="00EB39D6"/>
    <w:rsid w:val="00EB3ECA"/>
    <w:rsid w:val="00EB4D24"/>
    <w:rsid w:val="00EB5117"/>
    <w:rsid w:val="00EB7162"/>
    <w:rsid w:val="00EB7215"/>
    <w:rsid w:val="00EC0098"/>
    <w:rsid w:val="00EC1F02"/>
    <w:rsid w:val="00EC28E2"/>
    <w:rsid w:val="00EC3ECE"/>
    <w:rsid w:val="00EC5B00"/>
    <w:rsid w:val="00EC6C1C"/>
    <w:rsid w:val="00EC6EAE"/>
    <w:rsid w:val="00ED016E"/>
    <w:rsid w:val="00ED2EA2"/>
    <w:rsid w:val="00EE46DB"/>
    <w:rsid w:val="00EE55D3"/>
    <w:rsid w:val="00EF14FD"/>
    <w:rsid w:val="00EF4DF9"/>
    <w:rsid w:val="00EF5A7E"/>
    <w:rsid w:val="00EF6AA3"/>
    <w:rsid w:val="00EF78F0"/>
    <w:rsid w:val="00F00048"/>
    <w:rsid w:val="00F05BBB"/>
    <w:rsid w:val="00F10CAB"/>
    <w:rsid w:val="00F12233"/>
    <w:rsid w:val="00F12318"/>
    <w:rsid w:val="00F124ED"/>
    <w:rsid w:val="00F12BD2"/>
    <w:rsid w:val="00F12D9E"/>
    <w:rsid w:val="00F168C8"/>
    <w:rsid w:val="00F171EB"/>
    <w:rsid w:val="00F17647"/>
    <w:rsid w:val="00F2072F"/>
    <w:rsid w:val="00F2193A"/>
    <w:rsid w:val="00F236AB"/>
    <w:rsid w:val="00F238AC"/>
    <w:rsid w:val="00F2575D"/>
    <w:rsid w:val="00F25CEC"/>
    <w:rsid w:val="00F272A7"/>
    <w:rsid w:val="00F277F8"/>
    <w:rsid w:val="00F27CF0"/>
    <w:rsid w:val="00F311B0"/>
    <w:rsid w:val="00F32032"/>
    <w:rsid w:val="00F33C3A"/>
    <w:rsid w:val="00F33E6E"/>
    <w:rsid w:val="00F35FA5"/>
    <w:rsid w:val="00F41312"/>
    <w:rsid w:val="00F41E3C"/>
    <w:rsid w:val="00F43BA5"/>
    <w:rsid w:val="00F4453C"/>
    <w:rsid w:val="00F4534B"/>
    <w:rsid w:val="00F50871"/>
    <w:rsid w:val="00F51602"/>
    <w:rsid w:val="00F51DE8"/>
    <w:rsid w:val="00F521AF"/>
    <w:rsid w:val="00F5340E"/>
    <w:rsid w:val="00F53722"/>
    <w:rsid w:val="00F53886"/>
    <w:rsid w:val="00F5641F"/>
    <w:rsid w:val="00F578FE"/>
    <w:rsid w:val="00F60601"/>
    <w:rsid w:val="00F6157F"/>
    <w:rsid w:val="00F617ED"/>
    <w:rsid w:val="00F65C93"/>
    <w:rsid w:val="00F65D25"/>
    <w:rsid w:val="00F65E46"/>
    <w:rsid w:val="00F67596"/>
    <w:rsid w:val="00F70764"/>
    <w:rsid w:val="00F71BE8"/>
    <w:rsid w:val="00F72ED6"/>
    <w:rsid w:val="00F739E6"/>
    <w:rsid w:val="00F73D32"/>
    <w:rsid w:val="00F74DC4"/>
    <w:rsid w:val="00F77DC2"/>
    <w:rsid w:val="00F8467F"/>
    <w:rsid w:val="00F87757"/>
    <w:rsid w:val="00F904C9"/>
    <w:rsid w:val="00F93693"/>
    <w:rsid w:val="00F94ADF"/>
    <w:rsid w:val="00F9623A"/>
    <w:rsid w:val="00F969A0"/>
    <w:rsid w:val="00F9703C"/>
    <w:rsid w:val="00FA0BA9"/>
    <w:rsid w:val="00FA1613"/>
    <w:rsid w:val="00FA1931"/>
    <w:rsid w:val="00FA5E6D"/>
    <w:rsid w:val="00FB0160"/>
    <w:rsid w:val="00FB24B8"/>
    <w:rsid w:val="00FB51A0"/>
    <w:rsid w:val="00FB6D99"/>
    <w:rsid w:val="00FB7605"/>
    <w:rsid w:val="00FB7793"/>
    <w:rsid w:val="00FB7A4B"/>
    <w:rsid w:val="00FC19BC"/>
    <w:rsid w:val="00FC2E63"/>
    <w:rsid w:val="00FC44C3"/>
    <w:rsid w:val="00FC48E3"/>
    <w:rsid w:val="00FC622E"/>
    <w:rsid w:val="00FD3278"/>
    <w:rsid w:val="00FD5A46"/>
    <w:rsid w:val="00FE162D"/>
    <w:rsid w:val="00FE1DAB"/>
    <w:rsid w:val="00FE20A3"/>
    <w:rsid w:val="00FE2845"/>
    <w:rsid w:val="00FE50D3"/>
    <w:rsid w:val="00FE617D"/>
    <w:rsid w:val="00FE77D7"/>
    <w:rsid w:val="00FF06D3"/>
    <w:rsid w:val="00FF3F18"/>
    <w:rsid w:val="00FF4FE8"/>
    <w:rsid w:val="00FF75B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E1BA284-B8DA-4ED0-9C64-64E733F69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rPr>
      <w:sz w:val="20"/>
    </w:rPr>
  </w:style>
  <w:style w:type="character" w:styleId="a4">
    <w:name w:val="page number"/>
    <w:basedOn w:val="a0"/>
  </w:style>
  <w:style w:type="paragraph" w:styleId="a5">
    <w:name w:val="header"/>
    <w:basedOn w:val="a"/>
    <w:pPr>
      <w:tabs>
        <w:tab w:val="center" w:pos="4153"/>
        <w:tab w:val="right" w:pos="8306"/>
      </w:tabs>
    </w:pPr>
    <w:rPr>
      <w:sz w:val="20"/>
    </w:rPr>
  </w:style>
  <w:style w:type="paragraph" w:customStyle="1" w:styleId="1">
    <w:name w:val="樣式1"/>
    <w:basedOn w:val="a"/>
    <w:pPr>
      <w:spacing w:line="360" w:lineRule="auto"/>
      <w:jc w:val="both"/>
    </w:pPr>
    <w:rPr>
      <w:rFonts w:eastAsia="華康中黑體"/>
      <w:sz w:val="36"/>
    </w:rPr>
  </w:style>
  <w:style w:type="paragraph" w:customStyle="1" w:styleId="2">
    <w:name w:val="樣式2"/>
    <w:basedOn w:val="a"/>
    <w:pPr>
      <w:spacing w:line="360" w:lineRule="auto"/>
      <w:ind w:firstLine="480"/>
      <w:jc w:val="both"/>
    </w:pPr>
    <w:rPr>
      <w:rFonts w:ascii="華康楷書體W5" w:eastAsia="華康楷書體W5"/>
      <w:sz w:val="26"/>
    </w:rPr>
  </w:style>
  <w:style w:type="paragraph" w:customStyle="1" w:styleId="3">
    <w:name w:val="樣式3"/>
    <w:basedOn w:val="a"/>
    <w:pPr>
      <w:spacing w:line="360" w:lineRule="auto"/>
      <w:ind w:firstLine="240"/>
      <w:jc w:val="both"/>
    </w:pPr>
    <w:rPr>
      <w:rFonts w:ascii="華康楷書體W5" w:eastAsia="華康楷書體W5"/>
      <w:sz w:val="26"/>
    </w:rPr>
  </w:style>
  <w:style w:type="paragraph" w:customStyle="1" w:styleId="4">
    <w:name w:val="樣式4"/>
    <w:basedOn w:val="a"/>
    <w:pPr>
      <w:spacing w:line="360" w:lineRule="auto"/>
      <w:jc w:val="both"/>
    </w:pPr>
    <w:rPr>
      <w:rFonts w:ascii="華康中黑體" w:eastAsia="華康中黑體"/>
      <w:sz w:val="32"/>
    </w:rPr>
  </w:style>
  <w:style w:type="paragraph" w:customStyle="1" w:styleId="5">
    <w:name w:val="樣式5"/>
    <w:basedOn w:val="a"/>
    <w:pPr>
      <w:spacing w:line="360" w:lineRule="auto"/>
      <w:ind w:left="960" w:firstLine="480"/>
      <w:jc w:val="both"/>
    </w:pPr>
    <w:rPr>
      <w:rFonts w:ascii="華康楷書體W5" w:eastAsia="華康楷書體W5"/>
      <w:sz w:val="26"/>
    </w:rPr>
  </w:style>
  <w:style w:type="paragraph" w:customStyle="1" w:styleId="6">
    <w:name w:val="樣式6"/>
    <w:basedOn w:val="a"/>
    <w:pPr>
      <w:spacing w:line="360" w:lineRule="auto"/>
      <w:ind w:left="1200" w:hanging="240"/>
      <w:jc w:val="both"/>
    </w:pPr>
    <w:rPr>
      <w:rFonts w:ascii="華康楷書體W5" w:eastAsia="華康楷書體W5"/>
      <w:sz w:val="26"/>
    </w:rPr>
  </w:style>
  <w:style w:type="paragraph" w:customStyle="1" w:styleId="7">
    <w:name w:val="樣式7"/>
    <w:basedOn w:val="6"/>
    <w:pPr>
      <w:ind w:left="1446" w:hanging="255"/>
    </w:pPr>
  </w:style>
  <w:style w:type="paragraph" w:styleId="a6">
    <w:name w:val="Plain Text"/>
    <w:basedOn w:val="a"/>
    <w:rPr>
      <w:rFonts w:ascii="細明體" w:hAnsi="Courier New"/>
    </w:rPr>
  </w:style>
  <w:style w:type="paragraph" w:customStyle="1" w:styleId="a7">
    <w:name w:val="大標題"/>
    <w:basedOn w:val="a"/>
    <w:pPr>
      <w:tabs>
        <w:tab w:val="left" w:pos="5760"/>
      </w:tabs>
      <w:spacing w:line="600" w:lineRule="atLeast"/>
      <w:jc w:val="center"/>
    </w:pPr>
    <w:rPr>
      <w:rFonts w:ascii="細明體"/>
      <w:b/>
      <w:spacing w:val="20"/>
      <w:sz w:val="42"/>
    </w:rPr>
  </w:style>
  <w:style w:type="paragraph" w:customStyle="1" w:styleId="a8">
    <w:name w:val="壹"/>
    <w:basedOn w:val="a"/>
    <w:pPr>
      <w:spacing w:after="400" w:line="400" w:lineRule="atLeast"/>
    </w:pPr>
    <w:rPr>
      <w:b/>
      <w:spacing w:val="20"/>
      <w:sz w:val="32"/>
    </w:rPr>
  </w:style>
  <w:style w:type="paragraph" w:customStyle="1" w:styleId="a9">
    <w:name w:val="壹內文"/>
    <w:basedOn w:val="a"/>
    <w:pPr>
      <w:spacing w:line="480" w:lineRule="exact"/>
      <w:ind w:firstLine="567"/>
      <w:jc w:val="both"/>
    </w:pPr>
    <w:rPr>
      <w:rFonts w:ascii="華康楷書體W5" w:eastAsia="華康楷書體W5"/>
      <w:sz w:val="26"/>
    </w:rPr>
  </w:style>
  <w:style w:type="paragraph" w:customStyle="1" w:styleId="aa">
    <w:name w:val="凸"/>
    <w:basedOn w:val="a"/>
    <w:pPr>
      <w:spacing w:line="480" w:lineRule="exact"/>
      <w:ind w:left="284" w:hanging="284"/>
      <w:jc w:val="both"/>
    </w:pPr>
    <w:rPr>
      <w:rFonts w:eastAsia="華康楷書體W5"/>
      <w:sz w:val="26"/>
    </w:rPr>
  </w:style>
  <w:style w:type="paragraph" w:customStyle="1" w:styleId="ab">
    <w:name w:val="大"/>
    <w:basedOn w:val="a"/>
    <w:pPr>
      <w:spacing w:before="240" w:after="240" w:line="480" w:lineRule="atLeast"/>
    </w:pPr>
    <w:rPr>
      <w:rFonts w:ascii="華康中黑體" w:eastAsia="華康中黑體"/>
      <w:spacing w:val="20"/>
      <w:sz w:val="28"/>
    </w:rPr>
  </w:style>
  <w:style w:type="paragraph" w:customStyle="1" w:styleId="ac">
    <w:name w:val="內文１"/>
    <w:basedOn w:val="a"/>
    <w:pPr>
      <w:spacing w:line="480" w:lineRule="atLeast"/>
      <w:ind w:left="284" w:firstLine="567"/>
      <w:jc w:val="both"/>
    </w:pPr>
    <w:rPr>
      <w:rFonts w:eastAsia="華康楷書體W5"/>
      <w:sz w:val="26"/>
    </w:rPr>
  </w:style>
  <w:style w:type="paragraph" w:customStyle="1" w:styleId="ad">
    <w:name w:val=""/>
    <w:basedOn w:val="a"/>
    <w:pPr>
      <w:spacing w:line="480" w:lineRule="atLeast"/>
      <w:ind w:left="568" w:hanging="284"/>
      <w:jc w:val="both"/>
    </w:pPr>
    <w:rPr>
      <w:rFonts w:eastAsia="華康楷書體W5"/>
      <w:sz w:val="26"/>
    </w:rPr>
  </w:style>
  <w:style w:type="paragraph" w:customStyle="1" w:styleId="ae">
    <w:name w:val="貳"/>
    <w:basedOn w:val="a8"/>
    <w:pPr>
      <w:spacing w:before="360"/>
    </w:pPr>
  </w:style>
  <w:style w:type="paragraph" w:customStyle="1" w:styleId="af">
    <w:name w:val=""/>
    <w:basedOn w:val="ad"/>
    <w:pPr>
      <w:ind w:left="851"/>
    </w:pPr>
  </w:style>
  <w:style w:type="paragraph" w:customStyle="1" w:styleId="af0">
    <w:name w:val="內文"/>
    <w:basedOn w:val="ad"/>
    <w:pPr>
      <w:ind w:left="567" w:firstLine="567"/>
    </w:pPr>
  </w:style>
  <w:style w:type="paragraph" w:styleId="af1">
    <w:name w:val="Body Text"/>
    <w:basedOn w:val="a"/>
    <w:rPr>
      <w:rFonts w:eastAsia="標楷體"/>
      <w:sz w:val="22"/>
    </w:rPr>
  </w:style>
  <w:style w:type="paragraph" w:styleId="af2">
    <w:name w:val="Body Text Indent"/>
    <w:basedOn w:val="a"/>
    <w:pPr>
      <w:adjustRightInd/>
      <w:spacing w:line="240" w:lineRule="auto"/>
      <w:ind w:left="1080" w:hanging="720"/>
      <w:textAlignment w:val="auto"/>
    </w:pPr>
    <w:rPr>
      <w:rFonts w:eastAsia="標楷體"/>
      <w:kern w:val="2"/>
      <w:sz w:val="36"/>
    </w:rPr>
  </w:style>
  <w:style w:type="paragraph" w:styleId="20">
    <w:name w:val="Body Text 2"/>
    <w:basedOn w:val="a"/>
    <w:pPr>
      <w:adjustRightInd/>
      <w:spacing w:line="240" w:lineRule="auto"/>
      <w:jc w:val="both"/>
      <w:textAlignment w:val="auto"/>
    </w:pPr>
    <w:rPr>
      <w:rFonts w:eastAsia="華康楷書體W5"/>
      <w:kern w:val="2"/>
      <w:sz w:val="32"/>
    </w:rPr>
  </w:style>
  <w:style w:type="paragraph" w:styleId="30">
    <w:name w:val="Body Text 3"/>
    <w:basedOn w:val="a"/>
    <w:pPr>
      <w:spacing w:line="360" w:lineRule="auto"/>
      <w:jc w:val="both"/>
    </w:pPr>
    <w:rPr>
      <w:rFonts w:ascii="標楷體" w:eastAsia="標楷體"/>
      <w:color w:val="00FF00"/>
      <w:sz w:val="26"/>
    </w:rPr>
  </w:style>
  <w:style w:type="paragraph" w:styleId="af3">
    <w:name w:val="Balloon Text"/>
    <w:basedOn w:val="a"/>
    <w:semiHidden/>
    <w:rsid w:val="00126408"/>
    <w:rPr>
      <w:rFonts w:ascii="Arial" w:eastAsia="新細明體" w:hAnsi="Arial"/>
      <w:sz w:val="18"/>
      <w:szCs w:val="18"/>
    </w:rPr>
  </w:style>
  <w:style w:type="paragraph" w:styleId="Web">
    <w:name w:val="Normal (Web)"/>
    <w:basedOn w:val="a"/>
    <w:uiPriority w:val="99"/>
    <w:unhideWhenUsed/>
    <w:rsid w:val="0077722E"/>
    <w:pPr>
      <w:widowControl/>
      <w:adjustRightInd/>
      <w:spacing w:before="100" w:beforeAutospacing="1" w:after="100" w:afterAutospacing="1" w:line="240" w:lineRule="auto"/>
      <w:textAlignment w:val="auto"/>
    </w:pPr>
    <w:rPr>
      <w:rFonts w:ascii="新細明體" w:eastAsia="新細明體" w:hAnsi="新細明體" w:cs="新細明體"/>
      <w:szCs w:val="24"/>
    </w:rPr>
  </w:style>
  <w:style w:type="table" w:styleId="af4">
    <w:name w:val="Table Grid"/>
    <w:basedOn w:val="a1"/>
    <w:rsid w:val="00EB72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Paragraph"/>
    <w:basedOn w:val="a"/>
    <w:uiPriority w:val="34"/>
    <w:qFormat/>
    <w:rsid w:val="00E940EF"/>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7550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A:\87&#32317;&#35498;&#26126;.dot"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D:\0_109&#21322;&#24180;&#32080;&#31639;&#22577;&#21578;\90_&#32080;&#31639;&#36039;&#26009;&#27284;\&#32317;&#38928;&#31639;\&#22294;&#34920;&#35430;&#20570;3.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oleObject" Target="file:///D:\0_109&#21322;&#24180;&#32080;&#31639;&#22577;&#21578;\90_&#32080;&#31639;&#36039;&#26009;&#27284;\&#32317;&#38928;&#31639;\&#22294;&#34920;&#35430;&#20570;3.xlsx"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標楷體" panose="03000509000000000000" pitchFamily="65" charset="-120"/>
                <a:ea typeface="標楷體" panose="03000509000000000000" pitchFamily="65" charset="-120"/>
                <a:cs typeface="+mn-cs"/>
              </a:defRPr>
            </a:pPr>
            <a:r>
              <a:rPr lang="zh-TW" sz="1400"/>
              <a:t>圖</a:t>
            </a:r>
            <a:r>
              <a:rPr lang="en-US" altLang="zh-TW" sz="1400"/>
              <a:t>1</a:t>
            </a:r>
            <a:r>
              <a:rPr lang="en-US" sz="1400"/>
              <a:t> </a:t>
            </a:r>
            <a:r>
              <a:rPr lang="zh-TW" sz="1400"/>
              <a:t>歲</a:t>
            </a:r>
            <a:r>
              <a:rPr lang="zh-TW" altLang="en-US" sz="1400"/>
              <a:t>入</a:t>
            </a:r>
            <a:r>
              <a:rPr lang="zh-TW" sz="1400"/>
              <a:t>預算執行情形</a:t>
            </a:r>
          </a:p>
        </c:rich>
      </c:tx>
      <c:layout>
        <c:manualLayout>
          <c:xMode val="edge"/>
          <c:yMode val="edge"/>
          <c:x val="0.37915884656804766"/>
          <c:y val="0.94356147789218658"/>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標楷體" panose="03000509000000000000" pitchFamily="65" charset="-120"/>
              <a:ea typeface="標楷體" panose="03000509000000000000" pitchFamily="65" charset="-120"/>
              <a:cs typeface="+mn-cs"/>
            </a:defRPr>
          </a:pPr>
          <a:endParaRPr lang="zh-TW"/>
        </a:p>
      </c:txPr>
    </c:title>
    <c:autoTitleDeleted val="0"/>
    <c:plotArea>
      <c:layout>
        <c:manualLayout>
          <c:layoutTarget val="inner"/>
          <c:xMode val="edge"/>
          <c:yMode val="edge"/>
          <c:x val="0.13071895424836602"/>
          <c:y val="9.6536769267477923E-2"/>
          <c:w val="0.83417124795540321"/>
          <c:h val="0.42350462771100983"/>
        </c:manualLayout>
      </c:layout>
      <c:barChart>
        <c:barDir val="col"/>
        <c:grouping val="clustered"/>
        <c:varyColors val="0"/>
        <c:ser>
          <c:idx val="0"/>
          <c:order val="0"/>
          <c:tx>
            <c:strRef>
              <c:f>歲入圖1!$B$1</c:f>
              <c:strCache>
                <c:ptCount val="1"/>
                <c:pt idx="0">
                  <c:v>執行數</c:v>
                </c:pt>
              </c:strCache>
            </c:strRef>
          </c:tx>
          <c:spPr>
            <a:solidFill>
              <a:srgbClr val="00B0F0"/>
            </a:solidFill>
            <a:ln>
              <a:noFill/>
            </a:ln>
            <a:effectLst/>
            <a:scene3d>
              <a:camera prst="orthographicFront"/>
              <a:lightRig rig="threePt" dir="t"/>
            </a:scene3d>
            <a:sp3d>
              <a:bevelT w="12700"/>
            </a:sp3d>
          </c:spPr>
          <c:invertIfNegative val="0"/>
          <c:cat>
            <c:strRef>
              <c:f>歲入圖1!$A$2:$A$6</c:f>
              <c:strCache>
                <c:ptCount val="5"/>
                <c:pt idx="0">
                  <c:v>稅課收入</c:v>
                </c:pt>
                <c:pt idx="1">
                  <c:v>營業盈餘及事業收入</c:v>
                </c:pt>
                <c:pt idx="2">
                  <c:v>規費及罰款收入</c:v>
                </c:pt>
                <c:pt idx="3">
                  <c:v>財產收入</c:v>
                </c:pt>
                <c:pt idx="4">
                  <c:v>其他收入</c:v>
                </c:pt>
              </c:strCache>
            </c:strRef>
          </c:cat>
          <c:val>
            <c:numRef>
              <c:f>歲入圖1!$B$2:$B$6</c:f>
              <c:numCache>
                <c:formatCode>#,##0</c:formatCode>
                <c:ptCount val="5"/>
                <c:pt idx="0">
                  <c:v>5964</c:v>
                </c:pt>
                <c:pt idx="1">
                  <c:v>966</c:v>
                </c:pt>
                <c:pt idx="2">
                  <c:v>1678</c:v>
                </c:pt>
                <c:pt idx="3">
                  <c:v>405</c:v>
                </c:pt>
                <c:pt idx="4">
                  <c:v>71</c:v>
                </c:pt>
              </c:numCache>
            </c:numRef>
          </c:val>
          <c:extLst>
            <c:ext xmlns:c16="http://schemas.microsoft.com/office/drawing/2014/chart" uri="{C3380CC4-5D6E-409C-BE32-E72D297353CC}">
              <c16:uniqueId val="{00000000-EBD6-4908-96F4-06B6B8B5EF8F}"/>
            </c:ext>
          </c:extLst>
        </c:ser>
        <c:ser>
          <c:idx val="2"/>
          <c:order val="2"/>
          <c:tx>
            <c:strRef>
              <c:f>歲入圖1!$D$1</c:f>
              <c:strCache>
                <c:ptCount val="1"/>
                <c:pt idx="0">
                  <c:v>分配數</c:v>
                </c:pt>
              </c:strCache>
            </c:strRef>
          </c:tx>
          <c:spPr>
            <a:solidFill>
              <a:srgbClr val="FF66FF"/>
            </a:solidFill>
            <a:ln>
              <a:noFill/>
            </a:ln>
            <a:effectLst/>
            <a:scene3d>
              <a:camera prst="orthographicFront"/>
              <a:lightRig rig="chilly" dir="t"/>
            </a:scene3d>
            <a:sp3d>
              <a:bevelT w="6350" h="139700"/>
            </a:sp3d>
          </c:spPr>
          <c:invertIfNegative val="0"/>
          <c:cat>
            <c:strRef>
              <c:f>歲入圖1!$A$2:$A$6</c:f>
              <c:strCache>
                <c:ptCount val="5"/>
                <c:pt idx="0">
                  <c:v>稅課收入</c:v>
                </c:pt>
                <c:pt idx="1">
                  <c:v>營業盈餘及事業收入</c:v>
                </c:pt>
                <c:pt idx="2">
                  <c:v>規費及罰款收入</c:v>
                </c:pt>
                <c:pt idx="3">
                  <c:v>財產收入</c:v>
                </c:pt>
                <c:pt idx="4">
                  <c:v>其他收入</c:v>
                </c:pt>
              </c:strCache>
            </c:strRef>
          </c:cat>
          <c:val>
            <c:numRef>
              <c:f>歲入圖1!$D$2:$D$6</c:f>
              <c:numCache>
                <c:formatCode>#,##0</c:formatCode>
                <c:ptCount val="5"/>
                <c:pt idx="0">
                  <c:v>9359</c:v>
                </c:pt>
                <c:pt idx="1">
                  <c:v>978</c:v>
                </c:pt>
                <c:pt idx="2">
                  <c:v>716</c:v>
                </c:pt>
                <c:pt idx="3">
                  <c:v>134</c:v>
                </c:pt>
                <c:pt idx="4">
                  <c:v>54</c:v>
                </c:pt>
              </c:numCache>
            </c:numRef>
          </c:val>
          <c:extLst>
            <c:ext xmlns:c16="http://schemas.microsoft.com/office/drawing/2014/chart" uri="{C3380CC4-5D6E-409C-BE32-E72D297353CC}">
              <c16:uniqueId val="{00000001-EBD6-4908-96F4-06B6B8B5EF8F}"/>
            </c:ext>
          </c:extLst>
        </c:ser>
        <c:dLbls>
          <c:showLegendKey val="0"/>
          <c:showVal val="0"/>
          <c:showCatName val="0"/>
          <c:showSerName val="0"/>
          <c:showPercent val="0"/>
          <c:showBubbleSize val="0"/>
        </c:dLbls>
        <c:gapWidth val="150"/>
        <c:axId val="1667093472"/>
        <c:axId val="1667095136"/>
        <c:extLst>
          <c:ext xmlns:c15="http://schemas.microsoft.com/office/drawing/2012/chart" uri="{02D57815-91ED-43cb-92C2-25804820EDAC}">
            <c15:filteredBarSeries>
              <c15:ser>
                <c:idx val="1"/>
                <c:order val="1"/>
                <c:tx>
                  <c:strRef>
                    <c:extLst>
                      <c:ext uri="{02D57815-91ED-43cb-92C2-25804820EDAC}">
                        <c15:formulaRef>
                          <c15:sqref>歲入圖1!$C$1</c15:sqref>
                        </c15:formulaRef>
                      </c:ext>
                    </c:extLst>
                    <c:strCache>
                      <c:ptCount val="1"/>
                    </c:strCache>
                  </c:strRef>
                </c:tx>
                <c:spPr>
                  <a:solidFill>
                    <a:schemeClr val="accent2"/>
                  </a:solidFill>
                  <a:ln>
                    <a:noFill/>
                  </a:ln>
                  <a:effectLst/>
                </c:spPr>
                <c:invertIfNegative val="0"/>
                <c:cat>
                  <c:strRef>
                    <c:extLst>
                      <c:ext uri="{02D57815-91ED-43cb-92C2-25804820EDAC}">
                        <c15:formulaRef>
                          <c15:sqref>歲入圖1!$A$2:$A$6</c15:sqref>
                        </c15:formulaRef>
                      </c:ext>
                    </c:extLst>
                    <c:strCache>
                      <c:ptCount val="5"/>
                      <c:pt idx="0">
                        <c:v>稅課收入</c:v>
                      </c:pt>
                      <c:pt idx="1">
                        <c:v>營業盈餘及事業收入</c:v>
                      </c:pt>
                      <c:pt idx="2">
                        <c:v>規費及罰款收入</c:v>
                      </c:pt>
                      <c:pt idx="3">
                        <c:v>財產收入</c:v>
                      </c:pt>
                      <c:pt idx="4">
                        <c:v>其他收入</c:v>
                      </c:pt>
                    </c:strCache>
                  </c:strRef>
                </c:cat>
                <c:val>
                  <c:numRef>
                    <c:extLst>
                      <c:ext uri="{02D57815-91ED-43cb-92C2-25804820EDAC}">
                        <c15:formulaRef>
                          <c15:sqref>歲入圖1!$C$2:$C$6</c15:sqref>
                        </c15:formulaRef>
                      </c:ext>
                    </c:extLst>
                    <c:numCache>
                      <c:formatCode>General</c:formatCode>
                      <c:ptCount val="5"/>
                    </c:numCache>
                  </c:numRef>
                </c:val>
                <c:extLst>
                  <c:ext xmlns:c16="http://schemas.microsoft.com/office/drawing/2014/chart" uri="{C3380CC4-5D6E-409C-BE32-E72D297353CC}">
                    <c16:uniqueId val="{00000004-EBD6-4908-96F4-06B6B8B5EF8F}"/>
                  </c:ext>
                </c:extLst>
              </c15:ser>
            </c15:filteredBarSeries>
          </c:ext>
        </c:extLst>
      </c:barChart>
      <c:lineChart>
        <c:grouping val="standard"/>
        <c:varyColors val="0"/>
        <c:ser>
          <c:idx val="4"/>
          <c:order val="4"/>
          <c:tx>
            <c:strRef>
              <c:f>歲入圖1!$F$1</c:f>
              <c:strCache>
                <c:ptCount val="1"/>
                <c:pt idx="0">
                  <c:v>％</c:v>
                </c:pt>
              </c:strCache>
            </c:strRef>
          </c:tx>
          <c:spPr>
            <a:ln w="6350" cap="rnd">
              <a:solidFill>
                <a:srgbClr val="00B050"/>
              </a:solidFill>
              <a:round/>
            </a:ln>
            <a:effectLst>
              <a:glow rad="50800">
                <a:schemeClr val="accent6">
                  <a:satMod val="175000"/>
                  <a:alpha val="40000"/>
                </a:schemeClr>
              </a:glow>
            </a:effectLst>
          </c:spPr>
          <c:marker>
            <c:symbol val="circle"/>
            <c:size val="8"/>
            <c:spPr>
              <a:solidFill>
                <a:srgbClr val="43DD43"/>
              </a:solidFill>
              <a:ln w="28575">
                <a:solidFill>
                  <a:srgbClr val="00B050"/>
                </a:solidFill>
              </a:ln>
              <a:effectLst>
                <a:glow rad="50800">
                  <a:schemeClr val="accent6">
                    <a:satMod val="175000"/>
                    <a:alpha val="40000"/>
                  </a:schemeClr>
                </a:glow>
              </a:effectLst>
            </c:spPr>
          </c:marker>
          <c:dLbls>
            <c:dLbl>
              <c:idx val="0"/>
              <c:layout>
                <c:manualLayout>
                  <c:x val="-4.5315904139433552E-2"/>
                  <c:y val="-5.589722337339411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BD6-4908-96F4-06B6B8B5EF8F}"/>
                </c:ext>
              </c:extLst>
            </c:dLbl>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標楷體" panose="03000509000000000000" pitchFamily="65" charset="-120"/>
                    <a:ea typeface="標楷體" panose="03000509000000000000" pitchFamily="65" charset="-120"/>
                    <a:cs typeface="+mn-cs"/>
                  </a:defRPr>
                </a:pPr>
                <a:endParaRPr lang="zh-TW"/>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歲入圖1!$A$2:$A$6</c:f>
              <c:strCache>
                <c:ptCount val="5"/>
                <c:pt idx="0">
                  <c:v>稅課收入</c:v>
                </c:pt>
                <c:pt idx="1">
                  <c:v>營業盈餘及事業收入</c:v>
                </c:pt>
                <c:pt idx="2">
                  <c:v>規費及罰款收入</c:v>
                </c:pt>
                <c:pt idx="3">
                  <c:v>財產收入</c:v>
                </c:pt>
                <c:pt idx="4">
                  <c:v>其他收入</c:v>
                </c:pt>
              </c:strCache>
            </c:strRef>
          </c:cat>
          <c:val>
            <c:numRef>
              <c:f>歲入圖1!$F$2:$F$6</c:f>
              <c:numCache>
                <c:formatCode>#,##0.0</c:formatCode>
                <c:ptCount val="5"/>
                <c:pt idx="0">
                  <c:v>63.7</c:v>
                </c:pt>
                <c:pt idx="1">
                  <c:v>98.8</c:v>
                </c:pt>
                <c:pt idx="2">
                  <c:v>234.4</c:v>
                </c:pt>
                <c:pt idx="3">
                  <c:v>301.3</c:v>
                </c:pt>
                <c:pt idx="4">
                  <c:v>130.69999999999999</c:v>
                </c:pt>
              </c:numCache>
            </c:numRef>
          </c:val>
          <c:smooth val="0"/>
          <c:extLst>
            <c:ext xmlns:c16="http://schemas.microsoft.com/office/drawing/2014/chart" uri="{C3380CC4-5D6E-409C-BE32-E72D297353CC}">
              <c16:uniqueId val="{00000003-EBD6-4908-96F4-06B6B8B5EF8F}"/>
            </c:ext>
          </c:extLst>
        </c:ser>
        <c:dLbls>
          <c:showLegendKey val="0"/>
          <c:showVal val="0"/>
          <c:showCatName val="0"/>
          <c:showSerName val="0"/>
          <c:showPercent val="0"/>
          <c:showBubbleSize val="0"/>
        </c:dLbls>
        <c:marker val="1"/>
        <c:smooth val="0"/>
        <c:axId val="755288512"/>
        <c:axId val="755289344"/>
        <c:extLst>
          <c:ext xmlns:c15="http://schemas.microsoft.com/office/drawing/2012/chart" uri="{02D57815-91ED-43cb-92C2-25804820EDAC}">
            <c15:filteredLineSeries>
              <c15:ser>
                <c:idx val="3"/>
                <c:order val="3"/>
                <c:tx>
                  <c:strRef>
                    <c:extLst>
                      <c:ext uri="{02D57815-91ED-43cb-92C2-25804820EDAC}">
                        <c15:formulaRef>
                          <c15:sqref>歲入圖1!$E$1</c15:sqref>
                        </c15:formulaRef>
                      </c:ext>
                    </c:extLst>
                    <c:strCache>
                      <c:ptCount val="1"/>
                    </c:strCache>
                  </c:strRef>
                </c:tx>
                <c:spPr>
                  <a:ln w="28575" cap="rnd">
                    <a:solidFill>
                      <a:schemeClr val="accent4"/>
                    </a:solidFill>
                    <a:round/>
                  </a:ln>
                  <a:effectLst/>
                </c:spPr>
                <c:marker>
                  <c:symbol val="none"/>
                </c:marker>
                <c:cat>
                  <c:strRef>
                    <c:extLst>
                      <c:ext uri="{02D57815-91ED-43cb-92C2-25804820EDAC}">
                        <c15:formulaRef>
                          <c15:sqref>歲入圖1!$A$2:$A$6</c15:sqref>
                        </c15:formulaRef>
                      </c:ext>
                    </c:extLst>
                    <c:strCache>
                      <c:ptCount val="5"/>
                      <c:pt idx="0">
                        <c:v>稅課收入</c:v>
                      </c:pt>
                      <c:pt idx="1">
                        <c:v>營業盈餘及事業收入</c:v>
                      </c:pt>
                      <c:pt idx="2">
                        <c:v>規費及罰款收入</c:v>
                      </c:pt>
                      <c:pt idx="3">
                        <c:v>財產收入</c:v>
                      </c:pt>
                      <c:pt idx="4">
                        <c:v>其他收入</c:v>
                      </c:pt>
                    </c:strCache>
                  </c:strRef>
                </c:cat>
                <c:val>
                  <c:numRef>
                    <c:extLst>
                      <c:ext uri="{02D57815-91ED-43cb-92C2-25804820EDAC}">
                        <c15:formulaRef>
                          <c15:sqref>歲入圖1!$E$2:$E$6</c15:sqref>
                        </c15:formulaRef>
                      </c:ext>
                    </c:extLst>
                    <c:numCache>
                      <c:formatCode>General</c:formatCode>
                      <c:ptCount val="5"/>
                    </c:numCache>
                  </c:numRef>
                </c:val>
                <c:smooth val="0"/>
                <c:extLst>
                  <c:ext xmlns:c16="http://schemas.microsoft.com/office/drawing/2014/chart" uri="{C3380CC4-5D6E-409C-BE32-E72D297353CC}">
                    <c16:uniqueId val="{00000005-EBD6-4908-96F4-06B6B8B5EF8F}"/>
                  </c:ext>
                </c:extLst>
              </c15:ser>
            </c15:filteredLineSeries>
          </c:ext>
        </c:extLst>
      </c:lineChart>
      <c:catAx>
        <c:axId val="1667093472"/>
        <c:scaling>
          <c:orientation val="minMax"/>
        </c:scaling>
        <c:delete val="0"/>
        <c:axPos val="b"/>
        <c:numFmt formatCode="General" sourceLinked="1"/>
        <c:majorTickMark val="none"/>
        <c:minorTickMark val="none"/>
        <c:tickLblPos val="low"/>
        <c:spPr>
          <a:noFill/>
          <a:ln>
            <a:noFill/>
          </a:ln>
          <a:effectLst/>
        </c:spPr>
        <c:txPr>
          <a:bodyPr rot="0" spcFirstLastPara="1" vertOverflow="ellipsis" vert="eaVert" wrap="square" anchor="ctr" anchorCtr="1"/>
          <a:lstStyle/>
          <a:p>
            <a:pPr>
              <a:defRPr sz="800" b="0" i="0" u="none" strike="noStrike" kern="1200" baseline="0">
                <a:solidFill>
                  <a:schemeClr val="tx1"/>
                </a:solidFill>
                <a:latin typeface="標楷體" panose="03000509000000000000" pitchFamily="65" charset="-120"/>
                <a:ea typeface="標楷體" panose="03000509000000000000" pitchFamily="65" charset="-120"/>
                <a:cs typeface="+mn-cs"/>
              </a:defRPr>
            </a:pPr>
            <a:endParaRPr lang="zh-TW"/>
          </a:p>
        </c:txPr>
        <c:crossAx val="1667095136"/>
        <c:crossesAt val="0"/>
        <c:auto val="1"/>
        <c:lblAlgn val="ctr"/>
        <c:lblOffset val="100"/>
        <c:noMultiLvlLbl val="0"/>
      </c:catAx>
      <c:valAx>
        <c:axId val="1667095136"/>
        <c:scaling>
          <c:orientation val="minMax"/>
          <c:max val="9500"/>
          <c:min val="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solidFill>
                <a:latin typeface="標楷體" panose="03000509000000000000" pitchFamily="65" charset="-120"/>
                <a:ea typeface="標楷體" panose="03000509000000000000" pitchFamily="65" charset="-120"/>
                <a:cs typeface="+mn-cs"/>
              </a:defRPr>
            </a:pPr>
            <a:endParaRPr lang="zh-TW"/>
          </a:p>
        </c:txPr>
        <c:crossAx val="1667093472"/>
        <c:crosses val="autoZero"/>
        <c:crossBetween val="between"/>
        <c:majorUnit val="2000"/>
      </c:valAx>
      <c:valAx>
        <c:axId val="755289344"/>
        <c:scaling>
          <c:orientation val="minMax"/>
          <c:max val="310"/>
          <c:min val="0"/>
        </c:scaling>
        <c:delete val="0"/>
        <c:axPos val="r"/>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solidFill>
                <a:latin typeface="標楷體" panose="03000509000000000000" pitchFamily="65" charset="-120"/>
                <a:ea typeface="標楷體" panose="03000509000000000000" pitchFamily="65" charset="-120"/>
                <a:cs typeface="+mn-cs"/>
              </a:defRPr>
            </a:pPr>
            <a:endParaRPr lang="zh-TW"/>
          </a:p>
        </c:txPr>
        <c:crossAx val="755288512"/>
        <c:crosses val="max"/>
        <c:crossBetween val="between"/>
      </c:valAx>
      <c:catAx>
        <c:axId val="755288512"/>
        <c:scaling>
          <c:orientation val="minMax"/>
        </c:scaling>
        <c:delete val="1"/>
        <c:axPos val="b"/>
        <c:numFmt formatCode="General" sourceLinked="1"/>
        <c:majorTickMark val="out"/>
        <c:minorTickMark val="none"/>
        <c:tickLblPos val="nextTo"/>
        <c:crossAx val="755289344"/>
        <c:crosses val="autoZero"/>
        <c:auto val="1"/>
        <c:lblAlgn val="ctr"/>
        <c:lblOffset val="100"/>
        <c:noMultiLvlLbl val="0"/>
      </c:cat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800" b="0" i="0" u="none" strike="noStrike" kern="1200" baseline="0">
                <a:solidFill>
                  <a:schemeClr val="tx1"/>
                </a:solidFill>
                <a:latin typeface="標楷體" panose="03000509000000000000" pitchFamily="65" charset="-120"/>
                <a:ea typeface="標楷體" panose="03000509000000000000" pitchFamily="65" charset="-120"/>
                <a:cs typeface="+mn-cs"/>
              </a:defRPr>
            </a:pPr>
            <a:endParaRPr lang="zh-TW"/>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solidFill>
            <a:schemeClr val="tx1"/>
          </a:solidFill>
          <a:latin typeface="標楷體" panose="03000509000000000000" pitchFamily="65" charset="-120"/>
          <a:ea typeface="標楷體" panose="03000509000000000000" pitchFamily="65" charset="-120"/>
        </a:defRPr>
      </a:pPr>
      <a:endParaRPr lang="zh-TW"/>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標楷體" panose="03000509000000000000" pitchFamily="65" charset="-120"/>
                <a:ea typeface="標楷體" panose="03000509000000000000" pitchFamily="65" charset="-120"/>
                <a:cs typeface="+mn-cs"/>
              </a:defRPr>
            </a:pPr>
            <a:r>
              <a:rPr lang="zh-TW"/>
              <a:t>圖</a:t>
            </a:r>
            <a:r>
              <a:rPr lang="en-US"/>
              <a:t>2 </a:t>
            </a:r>
            <a:r>
              <a:rPr lang="zh-TW"/>
              <a:t>歲出預算執行情形</a:t>
            </a:r>
          </a:p>
        </c:rich>
      </c:tx>
      <c:layout>
        <c:manualLayout>
          <c:xMode val="edge"/>
          <c:yMode val="edge"/>
          <c:x val="0.37915884656804766"/>
          <c:y val="0.94356147789218658"/>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標楷體" panose="03000509000000000000" pitchFamily="65" charset="-120"/>
              <a:ea typeface="標楷體" panose="03000509000000000000" pitchFamily="65" charset="-120"/>
              <a:cs typeface="+mn-cs"/>
            </a:defRPr>
          </a:pPr>
          <a:endParaRPr lang="zh-TW"/>
        </a:p>
      </c:txPr>
    </c:title>
    <c:autoTitleDeleted val="0"/>
    <c:plotArea>
      <c:layout>
        <c:manualLayout>
          <c:layoutTarget val="inner"/>
          <c:xMode val="edge"/>
          <c:yMode val="edge"/>
          <c:x val="0.16224084864661076"/>
          <c:y val="7.2294232451712764E-2"/>
          <c:w val="0.83417124795540321"/>
          <c:h val="0.6711473692620441"/>
        </c:manualLayout>
      </c:layout>
      <c:barChart>
        <c:barDir val="col"/>
        <c:grouping val="clustered"/>
        <c:varyColors val="0"/>
        <c:ser>
          <c:idx val="0"/>
          <c:order val="0"/>
          <c:tx>
            <c:strRef>
              <c:f>歲出圖2!$B$1</c:f>
              <c:strCache>
                <c:ptCount val="1"/>
                <c:pt idx="0">
                  <c:v>執行數</c:v>
                </c:pt>
              </c:strCache>
            </c:strRef>
          </c:tx>
          <c:spPr>
            <a:solidFill>
              <a:srgbClr val="00B0F0"/>
            </a:solidFill>
            <a:ln>
              <a:noFill/>
            </a:ln>
            <a:effectLst/>
            <a:scene3d>
              <a:camera prst="orthographicFront"/>
              <a:lightRig rig="threePt" dir="t"/>
            </a:scene3d>
            <a:sp3d>
              <a:bevelT w="12700"/>
            </a:sp3d>
          </c:spPr>
          <c:invertIfNegative val="0"/>
          <c:cat>
            <c:strRef>
              <c:f>歲出圖2!$A$2:$A$27</c:f>
              <c:strCache>
                <c:ptCount val="26"/>
                <c:pt idx="0">
                  <c:v>總統府</c:v>
                </c:pt>
                <c:pt idx="1">
                  <c:v>行政院</c:v>
                </c:pt>
                <c:pt idx="2">
                  <c:v>立法院</c:v>
                </c:pt>
                <c:pt idx="3">
                  <c:v>司法院</c:v>
                </c:pt>
                <c:pt idx="4">
                  <c:v>考試院</c:v>
                </c:pt>
                <c:pt idx="5">
                  <c:v>監察院</c:v>
                </c:pt>
                <c:pt idx="6">
                  <c:v>內政部</c:v>
                </c:pt>
                <c:pt idx="7">
                  <c:v>外交部</c:v>
                </c:pt>
                <c:pt idx="8">
                  <c:v>國防部</c:v>
                </c:pt>
                <c:pt idx="9">
                  <c:v>財政部</c:v>
                </c:pt>
                <c:pt idx="10">
                  <c:v>教育部</c:v>
                </c:pt>
                <c:pt idx="11">
                  <c:v>法務部</c:v>
                </c:pt>
                <c:pt idx="12">
                  <c:v>經濟部</c:v>
                </c:pt>
                <c:pt idx="13">
                  <c:v>交通部</c:v>
                </c:pt>
                <c:pt idx="14">
                  <c:v>勞動部</c:v>
                </c:pt>
                <c:pt idx="15">
                  <c:v>僑務委員會</c:v>
                </c:pt>
                <c:pt idx="16">
                  <c:v>原子能委員會</c:v>
                </c:pt>
                <c:pt idx="17">
                  <c:v>農業委員會</c:v>
                </c:pt>
                <c:pt idx="18">
                  <c:v>衛生福利部</c:v>
                </c:pt>
                <c:pt idx="19">
                  <c:v>環境保護署</c:v>
                </c:pt>
                <c:pt idx="20">
                  <c:v>文化部</c:v>
                </c:pt>
                <c:pt idx="21">
                  <c:v>科技部</c:v>
                </c:pt>
                <c:pt idx="22">
                  <c:v>金融監督管理委員會</c:v>
                </c:pt>
                <c:pt idx="23">
                  <c:v>海洋委員會</c:v>
                </c:pt>
                <c:pt idx="24">
                  <c:v>國軍退除役官兵輔導委員會</c:v>
                </c:pt>
                <c:pt idx="25">
                  <c:v>省市地方政府</c:v>
                </c:pt>
              </c:strCache>
            </c:strRef>
          </c:cat>
          <c:val>
            <c:numRef>
              <c:f>歲出圖2!$B$2:$B$27</c:f>
              <c:numCache>
                <c:formatCode>#,##0</c:formatCode>
                <c:ptCount val="26"/>
                <c:pt idx="0">
                  <c:v>55</c:v>
                </c:pt>
                <c:pt idx="1">
                  <c:v>117</c:v>
                </c:pt>
                <c:pt idx="2">
                  <c:v>15</c:v>
                </c:pt>
                <c:pt idx="3">
                  <c:v>123</c:v>
                </c:pt>
                <c:pt idx="4">
                  <c:v>162</c:v>
                </c:pt>
                <c:pt idx="5">
                  <c:v>11</c:v>
                </c:pt>
                <c:pt idx="6">
                  <c:v>300</c:v>
                </c:pt>
                <c:pt idx="7">
                  <c:v>102</c:v>
                </c:pt>
                <c:pt idx="8">
                  <c:v>1394</c:v>
                </c:pt>
                <c:pt idx="9">
                  <c:v>906</c:v>
                </c:pt>
                <c:pt idx="10">
                  <c:v>1183</c:v>
                </c:pt>
                <c:pt idx="11">
                  <c:v>181</c:v>
                </c:pt>
                <c:pt idx="12">
                  <c:v>230</c:v>
                </c:pt>
                <c:pt idx="13">
                  <c:v>279</c:v>
                </c:pt>
                <c:pt idx="14">
                  <c:v>1027</c:v>
                </c:pt>
                <c:pt idx="15">
                  <c:v>4</c:v>
                </c:pt>
                <c:pt idx="16">
                  <c:v>11</c:v>
                </c:pt>
                <c:pt idx="17">
                  <c:v>722</c:v>
                </c:pt>
                <c:pt idx="18">
                  <c:v>1575</c:v>
                </c:pt>
                <c:pt idx="19">
                  <c:v>17</c:v>
                </c:pt>
                <c:pt idx="20">
                  <c:v>85</c:v>
                </c:pt>
                <c:pt idx="21">
                  <c:v>204</c:v>
                </c:pt>
                <c:pt idx="22">
                  <c:v>8</c:v>
                </c:pt>
                <c:pt idx="23">
                  <c:v>107</c:v>
                </c:pt>
                <c:pt idx="24">
                  <c:v>844</c:v>
                </c:pt>
                <c:pt idx="25">
                  <c:v>921</c:v>
                </c:pt>
              </c:numCache>
            </c:numRef>
          </c:val>
          <c:extLst>
            <c:ext xmlns:c16="http://schemas.microsoft.com/office/drawing/2014/chart" uri="{C3380CC4-5D6E-409C-BE32-E72D297353CC}">
              <c16:uniqueId val="{00000000-4D74-4740-BAC9-417999B639A7}"/>
            </c:ext>
          </c:extLst>
        </c:ser>
        <c:ser>
          <c:idx val="2"/>
          <c:order val="2"/>
          <c:tx>
            <c:strRef>
              <c:f>歲出圖2!$D$1</c:f>
              <c:strCache>
                <c:ptCount val="1"/>
                <c:pt idx="0">
                  <c:v>分配數</c:v>
                </c:pt>
              </c:strCache>
            </c:strRef>
          </c:tx>
          <c:spPr>
            <a:solidFill>
              <a:srgbClr val="FF66FF"/>
            </a:solidFill>
            <a:ln>
              <a:noFill/>
            </a:ln>
            <a:effectLst/>
            <a:scene3d>
              <a:camera prst="orthographicFront"/>
              <a:lightRig rig="chilly" dir="t"/>
            </a:scene3d>
            <a:sp3d>
              <a:bevelT w="6350" h="139700"/>
            </a:sp3d>
          </c:spPr>
          <c:invertIfNegative val="0"/>
          <c:cat>
            <c:strRef>
              <c:f>歲出圖2!$A$2:$A$27</c:f>
              <c:strCache>
                <c:ptCount val="26"/>
                <c:pt idx="0">
                  <c:v>總統府</c:v>
                </c:pt>
                <c:pt idx="1">
                  <c:v>行政院</c:v>
                </c:pt>
                <c:pt idx="2">
                  <c:v>立法院</c:v>
                </c:pt>
                <c:pt idx="3">
                  <c:v>司法院</c:v>
                </c:pt>
                <c:pt idx="4">
                  <c:v>考試院</c:v>
                </c:pt>
                <c:pt idx="5">
                  <c:v>監察院</c:v>
                </c:pt>
                <c:pt idx="6">
                  <c:v>內政部</c:v>
                </c:pt>
                <c:pt idx="7">
                  <c:v>外交部</c:v>
                </c:pt>
                <c:pt idx="8">
                  <c:v>國防部</c:v>
                </c:pt>
                <c:pt idx="9">
                  <c:v>財政部</c:v>
                </c:pt>
                <c:pt idx="10">
                  <c:v>教育部</c:v>
                </c:pt>
                <c:pt idx="11">
                  <c:v>法務部</c:v>
                </c:pt>
                <c:pt idx="12">
                  <c:v>經濟部</c:v>
                </c:pt>
                <c:pt idx="13">
                  <c:v>交通部</c:v>
                </c:pt>
                <c:pt idx="14">
                  <c:v>勞動部</c:v>
                </c:pt>
                <c:pt idx="15">
                  <c:v>僑務委員會</c:v>
                </c:pt>
                <c:pt idx="16">
                  <c:v>原子能委員會</c:v>
                </c:pt>
                <c:pt idx="17">
                  <c:v>農業委員會</c:v>
                </c:pt>
                <c:pt idx="18">
                  <c:v>衛生福利部</c:v>
                </c:pt>
                <c:pt idx="19">
                  <c:v>環境保護署</c:v>
                </c:pt>
                <c:pt idx="20">
                  <c:v>文化部</c:v>
                </c:pt>
                <c:pt idx="21">
                  <c:v>科技部</c:v>
                </c:pt>
                <c:pt idx="22">
                  <c:v>金融監督管理委員會</c:v>
                </c:pt>
                <c:pt idx="23">
                  <c:v>海洋委員會</c:v>
                </c:pt>
                <c:pt idx="24">
                  <c:v>國軍退除役官兵輔導委員會</c:v>
                </c:pt>
                <c:pt idx="25">
                  <c:v>省市地方政府</c:v>
                </c:pt>
              </c:strCache>
            </c:strRef>
          </c:cat>
          <c:val>
            <c:numRef>
              <c:f>歲出圖2!$D$2:$D$27</c:f>
              <c:numCache>
                <c:formatCode>#,##0</c:formatCode>
                <c:ptCount val="26"/>
                <c:pt idx="0">
                  <c:v>68</c:v>
                </c:pt>
                <c:pt idx="1">
                  <c:v>128</c:v>
                </c:pt>
                <c:pt idx="2">
                  <c:v>17</c:v>
                </c:pt>
                <c:pt idx="3">
                  <c:v>129</c:v>
                </c:pt>
                <c:pt idx="4">
                  <c:v>175</c:v>
                </c:pt>
                <c:pt idx="5">
                  <c:v>12</c:v>
                </c:pt>
                <c:pt idx="6">
                  <c:v>316</c:v>
                </c:pt>
                <c:pt idx="7">
                  <c:v>142</c:v>
                </c:pt>
                <c:pt idx="8">
                  <c:v>1517</c:v>
                </c:pt>
                <c:pt idx="9">
                  <c:v>975</c:v>
                </c:pt>
                <c:pt idx="10">
                  <c:v>1425</c:v>
                </c:pt>
                <c:pt idx="11">
                  <c:v>197</c:v>
                </c:pt>
                <c:pt idx="12">
                  <c:v>250</c:v>
                </c:pt>
                <c:pt idx="13">
                  <c:v>319</c:v>
                </c:pt>
                <c:pt idx="14">
                  <c:v>1069</c:v>
                </c:pt>
                <c:pt idx="15">
                  <c:v>6</c:v>
                </c:pt>
                <c:pt idx="16">
                  <c:v>12</c:v>
                </c:pt>
                <c:pt idx="17">
                  <c:v>766</c:v>
                </c:pt>
                <c:pt idx="18">
                  <c:v>1620</c:v>
                </c:pt>
                <c:pt idx="19">
                  <c:v>23</c:v>
                </c:pt>
                <c:pt idx="20">
                  <c:v>102</c:v>
                </c:pt>
                <c:pt idx="21">
                  <c:v>205</c:v>
                </c:pt>
                <c:pt idx="22">
                  <c:v>8</c:v>
                </c:pt>
                <c:pt idx="23">
                  <c:v>115</c:v>
                </c:pt>
                <c:pt idx="24">
                  <c:v>877</c:v>
                </c:pt>
                <c:pt idx="25">
                  <c:v>922</c:v>
                </c:pt>
              </c:numCache>
            </c:numRef>
          </c:val>
          <c:extLst>
            <c:ext xmlns:c16="http://schemas.microsoft.com/office/drawing/2014/chart" uri="{C3380CC4-5D6E-409C-BE32-E72D297353CC}">
              <c16:uniqueId val="{00000001-4D74-4740-BAC9-417999B639A7}"/>
            </c:ext>
          </c:extLst>
        </c:ser>
        <c:dLbls>
          <c:showLegendKey val="0"/>
          <c:showVal val="0"/>
          <c:showCatName val="0"/>
          <c:showSerName val="0"/>
          <c:showPercent val="0"/>
          <c:showBubbleSize val="0"/>
        </c:dLbls>
        <c:gapWidth val="150"/>
        <c:axId val="1667093472"/>
        <c:axId val="1667095136"/>
        <c:extLst>
          <c:ext xmlns:c15="http://schemas.microsoft.com/office/drawing/2012/chart" uri="{02D57815-91ED-43cb-92C2-25804820EDAC}">
            <c15:filteredBarSeries>
              <c15:ser>
                <c:idx val="1"/>
                <c:order val="1"/>
                <c:tx>
                  <c:strRef>
                    <c:extLst>
                      <c:ext uri="{02D57815-91ED-43cb-92C2-25804820EDAC}">
                        <c15:formulaRef>
                          <c15:sqref>歲出圖2!$C$1</c15:sqref>
                        </c15:formulaRef>
                      </c:ext>
                    </c:extLst>
                    <c:strCache>
                      <c:ptCount val="1"/>
                    </c:strCache>
                  </c:strRef>
                </c:tx>
                <c:spPr>
                  <a:solidFill>
                    <a:schemeClr val="accent2"/>
                  </a:solidFill>
                  <a:ln>
                    <a:noFill/>
                  </a:ln>
                  <a:effectLst/>
                </c:spPr>
                <c:invertIfNegative val="0"/>
                <c:cat>
                  <c:strRef>
                    <c:extLst>
                      <c:ext uri="{02D57815-91ED-43cb-92C2-25804820EDAC}">
                        <c15:formulaRef>
                          <c15:sqref>歲出圖2!$A$2:$A$27</c15:sqref>
                        </c15:formulaRef>
                      </c:ext>
                    </c:extLst>
                    <c:strCache>
                      <c:ptCount val="26"/>
                      <c:pt idx="0">
                        <c:v>總統府</c:v>
                      </c:pt>
                      <c:pt idx="1">
                        <c:v>行政院</c:v>
                      </c:pt>
                      <c:pt idx="2">
                        <c:v>立法院</c:v>
                      </c:pt>
                      <c:pt idx="3">
                        <c:v>司法院</c:v>
                      </c:pt>
                      <c:pt idx="4">
                        <c:v>考試院</c:v>
                      </c:pt>
                      <c:pt idx="5">
                        <c:v>監察院</c:v>
                      </c:pt>
                      <c:pt idx="6">
                        <c:v>內政部</c:v>
                      </c:pt>
                      <c:pt idx="7">
                        <c:v>外交部</c:v>
                      </c:pt>
                      <c:pt idx="8">
                        <c:v>國防部</c:v>
                      </c:pt>
                      <c:pt idx="9">
                        <c:v>財政部</c:v>
                      </c:pt>
                      <c:pt idx="10">
                        <c:v>教育部</c:v>
                      </c:pt>
                      <c:pt idx="11">
                        <c:v>法務部</c:v>
                      </c:pt>
                      <c:pt idx="12">
                        <c:v>經濟部</c:v>
                      </c:pt>
                      <c:pt idx="13">
                        <c:v>交通部</c:v>
                      </c:pt>
                      <c:pt idx="14">
                        <c:v>勞動部</c:v>
                      </c:pt>
                      <c:pt idx="15">
                        <c:v>僑務委員會</c:v>
                      </c:pt>
                      <c:pt idx="16">
                        <c:v>原子能委員會</c:v>
                      </c:pt>
                      <c:pt idx="17">
                        <c:v>農業委員會</c:v>
                      </c:pt>
                      <c:pt idx="18">
                        <c:v>衛生福利部</c:v>
                      </c:pt>
                      <c:pt idx="19">
                        <c:v>環境保護署</c:v>
                      </c:pt>
                      <c:pt idx="20">
                        <c:v>文化部</c:v>
                      </c:pt>
                      <c:pt idx="21">
                        <c:v>科技部</c:v>
                      </c:pt>
                      <c:pt idx="22">
                        <c:v>金融監督管理委員會</c:v>
                      </c:pt>
                      <c:pt idx="23">
                        <c:v>海洋委員會</c:v>
                      </c:pt>
                      <c:pt idx="24">
                        <c:v>國軍退除役官兵輔導委員會</c:v>
                      </c:pt>
                      <c:pt idx="25">
                        <c:v>省市地方政府</c:v>
                      </c:pt>
                    </c:strCache>
                  </c:strRef>
                </c:cat>
                <c:val>
                  <c:numRef>
                    <c:extLst>
                      <c:ext uri="{02D57815-91ED-43cb-92C2-25804820EDAC}">
                        <c15:formulaRef>
                          <c15:sqref>歲出圖2!$C$2:$C$27</c15:sqref>
                        </c15:formulaRef>
                      </c:ext>
                    </c:extLst>
                    <c:numCache>
                      <c:formatCode>General</c:formatCode>
                      <c:ptCount val="26"/>
                    </c:numCache>
                  </c:numRef>
                </c:val>
                <c:extLst>
                  <c:ext xmlns:c16="http://schemas.microsoft.com/office/drawing/2014/chart" uri="{C3380CC4-5D6E-409C-BE32-E72D297353CC}">
                    <c16:uniqueId val="{00000003-4D74-4740-BAC9-417999B639A7}"/>
                  </c:ext>
                </c:extLst>
              </c15:ser>
            </c15:filteredBarSeries>
          </c:ext>
        </c:extLst>
      </c:barChart>
      <c:lineChart>
        <c:grouping val="standard"/>
        <c:varyColors val="0"/>
        <c:dLbls>
          <c:showLegendKey val="0"/>
          <c:showVal val="0"/>
          <c:showCatName val="0"/>
          <c:showSerName val="0"/>
          <c:showPercent val="0"/>
          <c:showBubbleSize val="0"/>
        </c:dLbls>
        <c:marker val="1"/>
        <c:smooth val="0"/>
        <c:axId val="1667093472"/>
        <c:axId val="1667095136"/>
        <c:extLst>
          <c:ext xmlns:c15="http://schemas.microsoft.com/office/drawing/2012/chart" uri="{02D57815-91ED-43cb-92C2-25804820EDAC}">
            <c15:filteredLineSeries>
              <c15:ser>
                <c:idx val="3"/>
                <c:order val="3"/>
                <c:tx>
                  <c:strRef>
                    <c:extLst>
                      <c:ext uri="{02D57815-91ED-43cb-92C2-25804820EDAC}">
                        <c15:formulaRef>
                          <c15:sqref>歲出圖2!$E$1</c15:sqref>
                        </c15:formulaRef>
                      </c:ext>
                    </c:extLst>
                    <c:strCache>
                      <c:ptCount val="1"/>
                    </c:strCache>
                  </c:strRef>
                </c:tx>
                <c:spPr>
                  <a:ln w="28575" cap="rnd">
                    <a:solidFill>
                      <a:schemeClr val="accent4"/>
                    </a:solidFill>
                    <a:round/>
                  </a:ln>
                  <a:effectLst/>
                </c:spPr>
                <c:marker>
                  <c:symbol val="none"/>
                </c:marker>
                <c:cat>
                  <c:strRef>
                    <c:extLst>
                      <c:ext uri="{02D57815-91ED-43cb-92C2-25804820EDAC}">
                        <c15:formulaRef>
                          <c15:sqref>歲出圖2!$A$2:$A$27</c15:sqref>
                        </c15:formulaRef>
                      </c:ext>
                    </c:extLst>
                    <c:strCache>
                      <c:ptCount val="26"/>
                      <c:pt idx="0">
                        <c:v>總統府</c:v>
                      </c:pt>
                      <c:pt idx="1">
                        <c:v>行政院</c:v>
                      </c:pt>
                      <c:pt idx="2">
                        <c:v>立法院</c:v>
                      </c:pt>
                      <c:pt idx="3">
                        <c:v>司法院</c:v>
                      </c:pt>
                      <c:pt idx="4">
                        <c:v>考試院</c:v>
                      </c:pt>
                      <c:pt idx="5">
                        <c:v>監察院</c:v>
                      </c:pt>
                      <c:pt idx="6">
                        <c:v>內政部</c:v>
                      </c:pt>
                      <c:pt idx="7">
                        <c:v>外交部</c:v>
                      </c:pt>
                      <c:pt idx="8">
                        <c:v>國防部</c:v>
                      </c:pt>
                      <c:pt idx="9">
                        <c:v>財政部</c:v>
                      </c:pt>
                      <c:pt idx="10">
                        <c:v>教育部</c:v>
                      </c:pt>
                      <c:pt idx="11">
                        <c:v>法務部</c:v>
                      </c:pt>
                      <c:pt idx="12">
                        <c:v>經濟部</c:v>
                      </c:pt>
                      <c:pt idx="13">
                        <c:v>交通部</c:v>
                      </c:pt>
                      <c:pt idx="14">
                        <c:v>勞動部</c:v>
                      </c:pt>
                      <c:pt idx="15">
                        <c:v>僑務委員會</c:v>
                      </c:pt>
                      <c:pt idx="16">
                        <c:v>原子能委員會</c:v>
                      </c:pt>
                      <c:pt idx="17">
                        <c:v>農業委員會</c:v>
                      </c:pt>
                      <c:pt idx="18">
                        <c:v>衛生福利部</c:v>
                      </c:pt>
                      <c:pt idx="19">
                        <c:v>環境保護署</c:v>
                      </c:pt>
                      <c:pt idx="20">
                        <c:v>文化部</c:v>
                      </c:pt>
                      <c:pt idx="21">
                        <c:v>科技部</c:v>
                      </c:pt>
                      <c:pt idx="22">
                        <c:v>金融監督管理委員會</c:v>
                      </c:pt>
                      <c:pt idx="23">
                        <c:v>海洋委員會</c:v>
                      </c:pt>
                      <c:pt idx="24">
                        <c:v>國軍退除役官兵輔導委員會</c:v>
                      </c:pt>
                      <c:pt idx="25">
                        <c:v>省市地方政府</c:v>
                      </c:pt>
                    </c:strCache>
                  </c:strRef>
                </c:cat>
                <c:val>
                  <c:numRef>
                    <c:extLst>
                      <c:ext uri="{02D57815-91ED-43cb-92C2-25804820EDAC}">
                        <c15:formulaRef>
                          <c15:sqref>歲出圖2!$E$2:$E$27</c15:sqref>
                        </c15:formulaRef>
                      </c:ext>
                    </c:extLst>
                    <c:numCache>
                      <c:formatCode>General</c:formatCode>
                      <c:ptCount val="26"/>
                    </c:numCache>
                  </c:numRef>
                </c:val>
                <c:smooth val="0"/>
                <c:extLst>
                  <c:ext xmlns:c16="http://schemas.microsoft.com/office/drawing/2014/chart" uri="{C3380CC4-5D6E-409C-BE32-E72D297353CC}">
                    <c16:uniqueId val="{00000004-4D74-4740-BAC9-417999B639A7}"/>
                  </c:ext>
                </c:extLst>
              </c15:ser>
            </c15:filteredLineSeries>
          </c:ext>
        </c:extLst>
      </c:lineChart>
      <c:lineChart>
        <c:grouping val="standard"/>
        <c:varyColors val="0"/>
        <c:ser>
          <c:idx val="4"/>
          <c:order val="4"/>
          <c:tx>
            <c:strRef>
              <c:f>歲出圖2!$F$1</c:f>
              <c:strCache>
                <c:ptCount val="1"/>
                <c:pt idx="0">
                  <c:v>％</c:v>
                </c:pt>
              </c:strCache>
            </c:strRef>
          </c:tx>
          <c:spPr>
            <a:ln w="3175" cap="rnd">
              <a:solidFill>
                <a:srgbClr val="00B050"/>
              </a:solidFill>
              <a:round/>
            </a:ln>
            <a:effectLst>
              <a:glow rad="12700">
                <a:schemeClr val="accent6">
                  <a:satMod val="175000"/>
                  <a:alpha val="40000"/>
                </a:schemeClr>
              </a:glow>
            </a:effectLst>
          </c:spPr>
          <c:marker>
            <c:symbol val="circle"/>
            <c:size val="8"/>
            <c:spPr>
              <a:solidFill>
                <a:srgbClr val="43DD43"/>
              </a:solidFill>
              <a:ln w="6350">
                <a:solidFill>
                  <a:srgbClr val="00B050"/>
                </a:solidFill>
              </a:ln>
              <a:effectLst>
                <a:glow rad="12700">
                  <a:schemeClr val="accent6">
                    <a:satMod val="175000"/>
                    <a:alpha val="40000"/>
                  </a:schemeClr>
                </a:glow>
              </a:effectLst>
            </c:spPr>
          </c:marker>
          <c:cat>
            <c:strRef>
              <c:f>歲出圖2!$A$2:$A$27</c:f>
              <c:strCache>
                <c:ptCount val="26"/>
                <c:pt idx="0">
                  <c:v>總統府</c:v>
                </c:pt>
                <c:pt idx="1">
                  <c:v>行政院</c:v>
                </c:pt>
                <c:pt idx="2">
                  <c:v>立法院</c:v>
                </c:pt>
                <c:pt idx="3">
                  <c:v>司法院</c:v>
                </c:pt>
                <c:pt idx="4">
                  <c:v>考試院</c:v>
                </c:pt>
                <c:pt idx="5">
                  <c:v>監察院</c:v>
                </c:pt>
                <c:pt idx="6">
                  <c:v>內政部</c:v>
                </c:pt>
                <c:pt idx="7">
                  <c:v>外交部</c:v>
                </c:pt>
                <c:pt idx="8">
                  <c:v>國防部</c:v>
                </c:pt>
                <c:pt idx="9">
                  <c:v>財政部</c:v>
                </c:pt>
                <c:pt idx="10">
                  <c:v>教育部</c:v>
                </c:pt>
                <c:pt idx="11">
                  <c:v>法務部</c:v>
                </c:pt>
                <c:pt idx="12">
                  <c:v>經濟部</c:v>
                </c:pt>
                <c:pt idx="13">
                  <c:v>交通部</c:v>
                </c:pt>
                <c:pt idx="14">
                  <c:v>勞動部</c:v>
                </c:pt>
                <c:pt idx="15">
                  <c:v>僑務委員會</c:v>
                </c:pt>
                <c:pt idx="16">
                  <c:v>原子能委員會</c:v>
                </c:pt>
                <c:pt idx="17">
                  <c:v>農業委員會</c:v>
                </c:pt>
                <c:pt idx="18">
                  <c:v>衛生福利部</c:v>
                </c:pt>
                <c:pt idx="19">
                  <c:v>環境保護署</c:v>
                </c:pt>
                <c:pt idx="20">
                  <c:v>文化部</c:v>
                </c:pt>
                <c:pt idx="21">
                  <c:v>科技部</c:v>
                </c:pt>
                <c:pt idx="22">
                  <c:v>金融監督管理委員會</c:v>
                </c:pt>
                <c:pt idx="23">
                  <c:v>海洋委員會</c:v>
                </c:pt>
                <c:pt idx="24">
                  <c:v>國軍退除役官兵輔導委員會</c:v>
                </c:pt>
                <c:pt idx="25">
                  <c:v>省市地方政府</c:v>
                </c:pt>
              </c:strCache>
            </c:strRef>
          </c:cat>
          <c:val>
            <c:numRef>
              <c:f>歲出圖2!$F$2:$F$27</c:f>
              <c:numCache>
                <c:formatCode>#,##0.0</c:formatCode>
                <c:ptCount val="26"/>
                <c:pt idx="0">
                  <c:v>81</c:v>
                </c:pt>
                <c:pt idx="1">
                  <c:v>91.4</c:v>
                </c:pt>
                <c:pt idx="2">
                  <c:v>89.2</c:v>
                </c:pt>
                <c:pt idx="3">
                  <c:v>95</c:v>
                </c:pt>
                <c:pt idx="4">
                  <c:v>92.9</c:v>
                </c:pt>
                <c:pt idx="5">
                  <c:v>90.6</c:v>
                </c:pt>
                <c:pt idx="6">
                  <c:v>94.8</c:v>
                </c:pt>
                <c:pt idx="7">
                  <c:v>72.400000000000006</c:v>
                </c:pt>
                <c:pt idx="8">
                  <c:v>91.8</c:v>
                </c:pt>
                <c:pt idx="9">
                  <c:v>92.9</c:v>
                </c:pt>
                <c:pt idx="10">
                  <c:v>83.1</c:v>
                </c:pt>
                <c:pt idx="11">
                  <c:v>91.5</c:v>
                </c:pt>
                <c:pt idx="12">
                  <c:v>92</c:v>
                </c:pt>
                <c:pt idx="13">
                  <c:v>87.7</c:v>
                </c:pt>
                <c:pt idx="14">
                  <c:v>96.1</c:v>
                </c:pt>
                <c:pt idx="15">
                  <c:v>80.900000000000006</c:v>
                </c:pt>
                <c:pt idx="16">
                  <c:v>93.2</c:v>
                </c:pt>
                <c:pt idx="17">
                  <c:v>94.2</c:v>
                </c:pt>
                <c:pt idx="18">
                  <c:v>97.2</c:v>
                </c:pt>
                <c:pt idx="19">
                  <c:v>75.8</c:v>
                </c:pt>
                <c:pt idx="20">
                  <c:v>82.9</c:v>
                </c:pt>
                <c:pt idx="21">
                  <c:v>99.4</c:v>
                </c:pt>
                <c:pt idx="22">
                  <c:v>95</c:v>
                </c:pt>
                <c:pt idx="23">
                  <c:v>92.9</c:v>
                </c:pt>
                <c:pt idx="24">
                  <c:v>96.3</c:v>
                </c:pt>
                <c:pt idx="25">
                  <c:v>99.9</c:v>
                </c:pt>
              </c:numCache>
            </c:numRef>
          </c:val>
          <c:smooth val="0"/>
          <c:extLst>
            <c:ext xmlns:c16="http://schemas.microsoft.com/office/drawing/2014/chart" uri="{C3380CC4-5D6E-409C-BE32-E72D297353CC}">
              <c16:uniqueId val="{00000002-4D74-4740-BAC9-417999B639A7}"/>
            </c:ext>
          </c:extLst>
        </c:ser>
        <c:dLbls>
          <c:showLegendKey val="0"/>
          <c:showVal val="0"/>
          <c:showCatName val="0"/>
          <c:showSerName val="0"/>
          <c:showPercent val="0"/>
          <c:showBubbleSize val="0"/>
        </c:dLbls>
        <c:marker val="1"/>
        <c:smooth val="0"/>
        <c:axId val="945846512"/>
        <c:axId val="945849840"/>
      </c:lineChart>
      <c:catAx>
        <c:axId val="1667093472"/>
        <c:scaling>
          <c:orientation val="minMax"/>
        </c:scaling>
        <c:delete val="0"/>
        <c:axPos val="b"/>
        <c:numFmt formatCode="General" sourceLinked="1"/>
        <c:majorTickMark val="none"/>
        <c:minorTickMark val="none"/>
        <c:tickLblPos val="low"/>
        <c:spPr>
          <a:noFill/>
          <a:ln>
            <a:noFill/>
          </a:ln>
          <a:effectLst/>
        </c:spPr>
        <c:txPr>
          <a:bodyPr rot="0" spcFirstLastPara="1" vertOverflow="ellipsis" vert="eaVert" wrap="square" anchor="ctr" anchorCtr="1"/>
          <a:lstStyle/>
          <a:p>
            <a:pPr>
              <a:defRPr sz="900" b="0" i="0" u="none" strike="noStrike" kern="1200" baseline="0">
                <a:solidFill>
                  <a:schemeClr val="tx1"/>
                </a:solidFill>
                <a:latin typeface="標楷體" panose="03000509000000000000" pitchFamily="65" charset="-120"/>
                <a:ea typeface="標楷體" panose="03000509000000000000" pitchFamily="65" charset="-120"/>
                <a:cs typeface="+mn-cs"/>
              </a:defRPr>
            </a:pPr>
            <a:endParaRPr lang="zh-TW"/>
          </a:p>
        </c:txPr>
        <c:crossAx val="1667095136"/>
        <c:crosses val="autoZero"/>
        <c:auto val="1"/>
        <c:lblAlgn val="ctr"/>
        <c:lblOffset val="100"/>
        <c:noMultiLvlLbl val="0"/>
      </c:catAx>
      <c:valAx>
        <c:axId val="166709513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標楷體" panose="03000509000000000000" pitchFamily="65" charset="-120"/>
                <a:ea typeface="標楷體" panose="03000509000000000000" pitchFamily="65" charset="-120"/>
                <a:cs typeface="+mn-cs"/>
              </a:defRPr>
            </a:pPr>
            <a:endParaRPr lang="zh-TW"/>
          </a:p>
        </c:txPr>
        <c:crossAx val="1667093472"/>
        <c:crosses val="autoZero"/>
        <c:crossBetween val="between"/>
        <c:majorUnit val="300"/>
      </c:valAx>
      <c:valAx>
        <c:axId val="945849840"/>
        <c:scaling>
          <c:orientation val="minMax"/>
          <c:max val="100"/>
        </c:scaling>
        <c:delete val="0"/>
        <c:axPos val="r"/>
        <c:numFmt formatCode="#,##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標楷體" panose="03000509000000000000" pitchFamily="65" charset="-120"/>
                <a:ea typeface="標楷體" panose="03000509000000000000" pitchFamily="65" charset="-120"/>
                <a:cs typeface="+mn-cs"/>
              </a:defRPr>
            </a:pPr>
            <a:endParaRPr lang="zh-TW"/>
          </a:p>
        </c:txPr>
        <c:crossAx val="945846512"/>
        <c:crosses val="max"/>
        <c:crossBetween val="between"/>
      </c:valAx>
      <c:catAx>
        <c:axId val="945846512"/>
        <c:scaling>
          <c:orientation val="minMax"/>
        </c:scaling>
        <c:delete val="1"/>
        <c:axPos val="b"/>
        <c:numFmt formatCode="General" sourceLinked="1"/>
        <c:majorTickMark val="out"/>
        <c:minorTickMark val="none"/>
        <c:tickLblPos val="nextTo"/>
        <c:crossAx val="945849840"/>
        <c:crosses val="autoZero"/>
        <c:auto val="1"/>
        <c:lblAlgn val="ctr"/>
        <c:lblOffset val="100"/>
        <c:noMultiLvlLbl val="0"/>
      </c:cat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600" b="0" i="0" u="none" strike="noStrike" kern="1200" baseline="0">
                <a:solidFill>
                  <a:schemeClr val="tx1"/>
                </a:solidFill>
                <a:latin typeface="標楷體" panose="03000509000000000000" pitchFamily="65" charset="-120"/>
                <a:ea typeface="標楷體" panose="03000509000000000000" pitchFamily="65" charset="-120"/>
                <a:cs typeface="+mn-cs"/>
              </a:defRPr>
            </a:pPr>
            <a:endParaRPr lang="zh-TW"/>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latin typeface="標楷體" panose="03000509000000000000" pitchFamily="65" charset="-120"/>
          <a:ea typeface="標楷體" panose="03000509000000000000" pitchFamily="65" charset="-120"/>
        </a:defRPr>
      </a:pPr>
      <a:endParaRPr lang="zh-TW"/>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0.00471</cdr:x>
      <cdr:y>0.00256</cdr:y>
    </cdr:from>
    <cdr:to>
      <cdr:x>0.18985</cdr:x>
      <cdr:y>0.08547</cdr:y>
    </cdr:to>
    <cdr:sp macro="" textlink="">
      <cdr:nvSpPr>
        <cdr:cNvPr id="2" name="文字方塊 1"/>
        <cdr:cNvSpPr txBox="1"/>
      </cdr:nvSpPr>
      <cdr:spPr>
        <a:xfrm xmlns:a="http://schemas.openxmlformats.org/drawingml/2006/main">
          <a:off x="28829" y="5706"/>
          <a:ext cx="1133221" cy="18479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zh-TW" altLang="en-US" sz="900">
              <a:latin typeface="標楷體" panose="03000509000000000000" pitchFamily="65" charset="-120"/>
              <a:ea typeface="標楷體" panose="03000509000000000000" pitchFamily="65" charset="-120"/>
            </a:rPr>
            <a:t>單位：</a:t>
          </a:r>
          <a:r>
            <a:rPr lang="zh-TW" altLang="zh-TW" sz="900">
              <a:effectLst/>
              <a:latin typeface="標楷體" panose="03000509000000000000" pitchFamily="65" charset="-120"/>
              <a:ea typeface="標楷體" panose="03000509000000000000" pitchFamily="65" charset="-120"/>
              <a:cs typeface="+mn-cs"/>
            </a:rPr>
            <a:t>新臺幣</a:t>
          </a:r>
          <a:r>
            <a:rPr lang="zh-TW" altLang="en-US" sz="900">
              <a:latin typeface="標楷體" panose="03000509000000000000" pitchFamily="65" charset="-120"/>
              <a:ea typeface="標楷體" panose="03000509000000000000" pitchFamily="65" charset="-120"/>
            </a:rPr>
            <a:t>億元</a:t>
          </a:r>
        </a:p>
      </cdr:txBody>
    </cdr:sp>
  </cdr:relSizeAnchor>
  <cdr:relSizeAnchor xmlns:cdr="http://schemas.openxmlformats.org/drawingml/2006/chartDrawing">
    <cdr:from>
      <cdr:x>0.9619</cdr:x>
      <cdr:y>0</cdr:y>
    </cdr:from>
    <cdr:to>
      <cdr:x>1</cdr:x>
      <cdr:y>0.0812</cdr:y>
    </cdr:to>
    <cdr:sp macro="" textlink="">
      <cdr:nvSpPr>
        <cdr:cNvPr id="3" name="文字方塊 1"/>
        <cdr:cNvSpPr txBox="1"/>
      </cdr:nvSpPr>
      <cdr:spPr>
        <a:xfrm xmlns:a="http://schemas.openxmlformats.org/drawingml/2006/main">
          <a:off x="5887564" y="0"/>
          <a:ext cx="233201" cy="18097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zh-TW" altLang="en-US" sz="1000">
              <a:solidFill>
                <a:schemeClr val="tx1"/>
              </a:solidFill>
              <a:latin typeface="標楷體" panose="03000509000000000000" pitchFamily="65" charset="-120"/>
              <a:ea typeface="標楷體" panose="03000509000000000000" pitchFamily="65" charset="-120"/>
            </a:rPr>
            <a:t>％</a:t>
          </a:r>
        </a:p>
      </cdr:txBody>
    </cdr:sp>
  </cdr:relSizeAnchor>
</c:userShapes>
</file>

<file path=word/drawings/drawing2.xml><?xml version="1.0" encoding="utf-8"?>
<c:userShapes xmlns:c="http://schemas.openxmlformats.org/drawingml/2006/chart">
  <cdr:relSizeAnchor xmlns:cdr="http://schemas.openxmlformats.org/drawingml/2006/chartDrawing">
    <cdr:from>
      <cdr:x>0.00471</cdr:x>
      <cdr:y>0.01389</cdr:y>
    </cdr:from>
    <cdr:to>
      <cdr:x>0.24241</cdr:x>
      <cdr:y>0.0714</cdr:y>
    </cdr:to>
    <cdr:sp macro="" textlink="">
      <cdr:nvSpPr>
        <cdr:cNvPr id="2" name="文字方塊 1"/>
        <cdr:cNvSpPr txBox="1"/>
      </cdr:nvSpPr>
      <cdr:spPr>
        <a:xfrm xmlns:a="http://schemas.openxmlformats.org/drawingml/2006/main">
          <a:off x="28829" y="78235"/>
          <a:ext cx="1454915" cy="32392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zh-TW" altLang="en-US" sz="1100">
              <a:latin typeface="標楷體" panose="03000509000000000000" pitchFamily="65" charset="-120"/>
              <a:ea typeface="標楷體" panose="03000509000000000000" pitchFamily="65" charset="-120"/>
            </a:rPr>
            <a:t>單位：</a:t>
          </a:r>
          <a:r>
            <a:rPr lang="zh-TW" altLang="zh-TW" sz="1100">
              <a:effectLst/>
              <a:latin typeface="標楷體" panose="03000509000000000000" pitchFamily="65" charset="-120"/>
              <a:ea typeface="標楷體" panose="03000509000000000000" pitchFamily="65" charset="-120"/>
              <a:cs typeface="+mn-cs"/>
            </a:rPr>
            <a:t>新臺幣</a:t>
          </a:r>
          <a:r>
            <a:rPr lang="zh-TW" altLang="en-US" sz="1100">
              <a:latin typeface="標楷體" panose="03000509000000000000" pitchFamily="65" charset="-120"/>
              <a:ea typeface="標楷體" panose="03000509000000000000" pitchFamily="65" charset="-120"/>
            </a:rPr>
            <a:t>億元</a:t>
          </a:r>
        </a:p>
      </cdr:txBody>
    </cdr:sp>
  </cdr:relSizeAnchor>
  <cdr:relSizeAnchor xmlns:cdr="http://schemas.openxmlformats.org/drawingml/2006/chartDrawing">
    <cdr:from>
      <cdr:x>0.9619</cdr:x>
      <cdr:y>0.00404</cdr:y>
    </cdr:from>
    <cdr:to>
      <cdr:x>1</cdr:x>
      <cdr:y>0.06155</cdr:y>
    </cdr:to>
    <cdr:sp macro="" textlink="">
      <cdr:nvSpPr>
        <cdr:cNvPr id="3" name="文字方塊 1"/>
        <cdr:cNvSpPr txBox="1"/>
      </cdr:nvSpPr>
      <cdr:spPr>
        <a:xfrm xmlns:a="http://schemas.openxmlformats.org/drawingml/2006/main">
          <a:off x="8177215" y="22225"/>
          <a:ext cx="323849" cy="31607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zh-TW" altLang="en-US" sz="1100">
              <a:solidFill>
                <a:schemeClr val="tx1"/>
              </a:solidFill>
              <a:latin typeface="標楷體" panose="03000509000000000000" pitchFamily="65" charset="-120"/>
              <a:ea typeface="標楷體" panose="03000509000000000000" pitchFamily="65" charset="-120"/>
            </a:rPr>
            <a:t>％</a:t>
          </a:r>
        </a:p>
      </cdr:txBody>
    </cdr:sp>
  </cdr:relSizeAnchor>
</c:userShape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641246-C8DC-4514-82EC-47817D6A9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87總說明</Template>
  <TotalTime>57</TotalTime>
  <Pages>5</Pages>
  <Words>405</Words>
  <Characters>2314</Characters>
  <Application>Microsoft Office Word</Application>
  <DocSecurity>0</DocSecurity>
  <Lines>19</Lines>
  <Paragraphs>5</Paragraphs>
  <ScaleCrop>false</ScaleCrop>
  <Company>行政院主計處</Company>
  <LinksUpToDate>false</LinksUpToDate>
  <CharactersWithSpaces>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中華民國八十六年度中央政府總決算總說明</dc:title>
  <dc:subject/>
  <dc:creator>黃建芬</dc:creator>
  <cp:keywords/>
  <dc:description/>
  <cp:lastModifiedBy>謝慧燕</cp:lastModifiedBy>
  <cp:revision>18</cp:revision>
  <cp:lastPrinted>2020-08-19T02:06:00Z</cp:lastPrinted>
  <dcterms:created xsi:type="dcterms:W3CDTF">2020-08-18T09:53:00Z</dcterms:created>
  <dcterms:modified xsi:type="dcterms:W3CDTF">2020-08-24T03:16:00Z</dcterms:modified>
</cp:coreProperties>
</file>