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drawings/drawing10.xml" ContentType="application/vnd.openxmlformats-officedocument.drawingml.chartshapes+xml"/>
  <Override PartName="/word/drawings/drawing20.xml" ContentType="application/vnd.openxmlformats-officedocument.drawingml.chartshapes+xml"/>
  <Override PartName="/word/theme/themeOverride1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2" w:rsidRPr="00122A88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color w:val="000000" w:themeColor="text1"/>
          <w:kern w:val="0"/>
          <w:sz w:val="42"/>
          <w:szCs w:val="42"/>
        </w:rPr>
      </w:pPr>
      <w:r w:rsidRPr="00122A88">
        <w:rPr>
          <w:rFonts w:ascii="標楷體" w:eastAsia="標楷體" w:hAnsi="標楷體" w:hint="eastAsia"/>
          <w:b/>
          <w:color w:val="000000" w:themeColor="text1"/>
          <w:kern w:val="0"/>
          <w:sz w:val="42"/>
          <w:szCs w:val="42"/>
        </w:rPr>
        <w:t>中華民國</w:t>
      </w:r>
      <w:proofErr w:type="gramStart"/>
      <w:r w:rsidRPr="00122A88">
        <w:rPr>
          <w:rFonts w:ascii="標楷體" w:eastAsia="標楷體" w:hAnsi="標楷體" w:hint="eastAsia"/>
          <w:b/>
          <w:color w:val="000000" w:themeColor="text1"/>
          <w:kern w:val="0"/>
          <w:sz w:val="42"/>
          <w:szCs w:val="42"/>
        </w:rPr>
        <w:t>10</w:t>
      </w:r>
      <w:r w:rsidR="00987B8F" w:rsidRPr="00122A88">
        <w:rPr>
          <w:rFonts w:ascii="標楷體" w:eastAsia="標楷體" w:hAnsi="標楷體"/>
          <w:b/>
          <w:color w:val="000000" w:themeColor="text1"/>
          <w:kern w:val="0"/>
          <w:sz w:val="42"/>
          <w:szCs w:val="42"/>
        </w:rPr>
        <w:t>8</w:t>
      </w:r>
      <w:proofErr w:type="gramEnd"/>
      <w:r w:rsidRPr="00122A88">
        <w:rPr>
          <w:rFonts w:ascii="標楷體" w:eastAsia="標楷體" w:hAnsi="標楷體" w:hint="eastAsia"/>
          <w:b/>
          <w:color w:val="000000" w:themeColor="text1"/>
          <w:kern w:val="0"/>
          <w:sz w:val="42"/>
          <w:szCs w:val="42"/>
        </w:rPr>
        <w:t>年度</w:t>
      </w:r>
    </w:p>
    <w:p w:rsidR="00640252" w:rsidRPr="00122A88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color w:val="000000" w:themeColor="text1"/>
          <w:kern w:val="0"/>
          <w:sz w:val="42"/>
          <w:szCs w:val="42"/>
        </w:rPr>
      </w:pPr>
      <w:r w:rsidRPr="00122A88">
        <w:rPr>
          <w:rFonts w:ascii="標楷體" w:eastAsia="標楷體" w:hAnsi="標楷體" w:hint="eastAsia"/>
          <w:b/>
          <w:color w:val="000000" w:themeColor="text1"/>
          <w:kern w:val="0"/>
          <w:sz w:val="42"/>
          <w:szCs w:val="42"/>
        </w:rPr>
        <w:t>中央政府總預算附屬單位預算半年結算</w:t>
      </w:r>
      <w:r w:rsidR="00AD2D01" w:rsidRPr="00122A88">
        <w:rPr>
          <w:rFonts w:ascii="標楷體" w:eastAsia="標楷體" w:hAnsi="標楷體" w:hint="eastAsia"/>
          <w:b/>
          <w:color w:val="000000" w:themeColor="text1"/>
          <w:kern w:val="0"/>
          <w:sz w:val="42"/>
          <w:szCs w:val="42"/>
        </w:rPr>
        <w:t>報告</w:t>
      </w:r>
      <w:r w:rsidR="006C13CF" w:rsidRPr="00122A88">
        <w:rPr>
          <w:rFonts w:ascii="標楷體" w:eastAsia="標楷體" w:hAnsi="標楷體" w:hint="eastAsia"/>
          <w:b/>
          <w:color w:val="000000" w:themeColor="text1"/>
          <w:kern w:val="0"/>
          <w:sz w:val="42"/>
          <w:szCs w:val="42"/>
        </w:rPr>
        <w:t>及綜計表</w:t>
      </w:r>
    </w:p>
    <w:p w:rsidR="00640252" w:rsidRPr="00122A88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color w:val="000000" w:themeColor="text1"/>
          <w:kern w:val="0"/>
          <w:sz w:val="42"/>
          <w:szCs w:val="42"/>
        </w:rPr>
      </w:pPr>
      <w:r w:rsidRPr="00122A88">
        <w:rPr>
          <w:rFonts w:ascii="標楷體" w:eastAsia="標楷體" w:hAnsi="標楷體" w:hint="eastAsia"/>
          <w:b/>
          <w:color w:val="000000" w:themeColor="text1"/>
          <w:kern w:val="0"/>
          <w:sz w:val="42"/>
          <w:szCs w:val="42"/>
        </w:rPr>
        <w:t>（營業部分）總說明</w:t>
      </w:r>
    </w:p>
    <w:p w:rsidR="008E5029" w:rsidRPr="00122A88" w:rsidRDefault="002F4B18" w:rsidP="004407A4">
      <w:pPr>
        <w:adjustRightInd w:val="0"/>
        <w:spacing w:line="500" w:lineRule="exact"/>
        <w:jc w:val="both"/>
        <w:textAlignment w:val="baseline"/>
        <w:rPr>
          <w:rFonts w:ascii="標楷體" w:eastAsia="標楷體" w:hAnsi="標楷體"/>
          <w:color w:val="000000" w:themeColor="text1"/>
          <w:spacing w:val="16"/>
          <w:sz w:val="30"/>
        </w:rPr>
      </w:pPr>
      <w:r w:rsidRPr="00122A88">
        <w:rPr>
          <w:rFonts w:ascii="標楷體" w:eastAsia="標楷體" w:hAnsi="標楷體"/>
          <w:color w:val="000000" w:themeColor="text1"/>
          <w:spacing w:val="20"/>
          <w:sz w:val="30"/>
        </w:rPr>
        <w:t xml:space="preserve">   </w:t>
      </w:r>
      <w:proofErr w:type="gramStart"/>
      <w:r w:rsidR="00ED60F0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10</w:t>
      </w:r>
      <w:r w:rsidR="00987B8F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8</w:t>
      </w:r>
      <w:proofErr w:type="gramEnd"/>
      <w:r w:rsidR="0072282D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年度（以下簡稱本年度）</w:t>
      </w:r>
      <w:r w:rsidR="006B3266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截至6月底</w:t>
      </w:r>
      <w:proofErr w:type="gramStart"/>
      <w:r w:rsidR="006B3266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止</w:t>
      </w:r>
      <w:proofErr w:type="gramEnd"/>
      <w:r w:rsidR="004A4509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營業基金</w:t>
      </w:r>
      <w:r w:rsidR="0072282D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計有2</w:t>
      </w:r>
      <w:r w:rsidR="00313BD5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3</w:t>
      </w:r>
      <w:r w:rsidR="0072282D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單位</w:t>
      </w:r>
      <w:r w:rsidR="00C2390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（</w:t>
      </w:r>
      <w:r w:rsidR="00E86ECA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含</w:t>
      </w:r>
      <w:r w:rsidR="00C2390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分預算</w:t>
      </w:r>
      <w:r w:rsidR="00313BD5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8</w:t>
      </w:r>
      <w:r w:rsidR="00C2390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單位）</w:t>
      </w:r>
      <w:r w:rsidR="00E86ECA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，依決算法第26條之1規定，將</w:t>
      </w:r>
      <w:r w:rsidR="00331F1E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本年度</w:t>
      </w:r>
      <w:r w:rsidR="008A3938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各附屬單位預算</w:t>
      </w:r>
      <w:r w:rsidR="00DA54DE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半年結算</w:t>
      </w:r>
      <w:proofErr w:type="gramStart"/>
      <w:r w:rsidR="00DA54DE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報告</w:t>
      </w:r>
      <w:r w:rsidR="008A3938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彙案編成</w:t>
      </w:r>
      <w:proofErr w:type="gramEnd"/>
      <w:r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中央政府總預算附屬單位預算半年結算報告及綜計表（營業部分）</w:t>
      </w:r>
      <w:r w:rsidR="004A1D64" w:rsidRPr="00122A88">
        <w:rPr>
          <w:rFonts w:ascii="新細明體" w:eastAsia="新細明體" w:hAnsi="新細明體" w:hint="eastAsia"/>
          <w:color w:val="000000" w:themeColor="text1"/>
          <w:spacing w:val="16"/>
          <w:sz w:val="30"/>
        </w:rPr>
        <w:t>。</w:t>
      </w:r>
      <w:r w:rsidR="004A1D6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另辦理結束清理工作者計有</w:t>
      </w:r>
      <w:r w:rsidR="00987B8F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5</w:t>
      </w:r>
      <w:r w:rsidR="004A1D6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單位，其半年結算報告則以附錄表達。前開中央政府總預算附屬單位預算半年結算報告及綜計表（營業部分），隨同中央政府總預算半年結算報告函送審計部。</w:t>
      </w:r>
      <w:r w:rsidR="008A3938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至各附屬單位預算之分預算</w:t>
      </w:r>
      <w:r w:rsidR="00DA54DE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半年結算報告</w:t>
      </w:r>
      <w:r w:rsidR="008A3938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，係以編製合併報表方式併入</w:t>
      </w:r>
      <w:r w:rsidR="004407A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原投資事業</w:t>
      </w:r>
      <w:r w:rsidR="00FC6EAF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半年結算報告</w:t>
      </w:r>
      <w:r w:rsidR="004407A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，</w:t>
      </w:r>
      <w:proofErr w:type="gramStart"/>
      <w:r w:rsidR="004407A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不</w:t>
      </w:r>
      <w:proofErr w:type="gramEnd"/>
      <w:r w:rsidR="004407A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另單獨列示，其相關半年結算</w:t>
      </w:r>
      <w:proofErr w:type="gramStart"/>
      <w:r w:rsidR="004407A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內容仍附於</w:t>
      </w:r>
      <w:proofErr w:type="gramEnd"/>
      <w:r w:rsidR="004407A4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該事業</w:t>
      </w:r>
      <w:r w:rsidR="008A3938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表達。</w:t>
      </w:r>
      <w:r w:rsidR="008E5029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茲</w:t>
      </w:r>
      <w:r w:rsidR="006E11AA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就</w:t>
      </w:r>
      <w:r w:rsidR="000A10E2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營業收支損益情形及資產負債實況，分述</w:t>
      </w:r>
      <w:r w:rsidR="008E5029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如下：</w:t>
      </w:r>
    </w:p>
    <w:p w:rsidR="0072282D" w:rsidRPr="00122A88" w:rsidRDefault="0072282D" w:rsidP="00A278C6">
      <w:pPr>
        <w:numPr>
          <w:ilvl w:val="0"/>
          <w:numId w:val="42"/>
        </w:numPr>
        <w:spacing w:beforeLines="100" w:before="240" w:line="540" w:lineRule="exact"/>
        <w:jc w:val="both"/>
        <w:outlineLvl w:val="0"/>
        <w:rPr>
          <w:rFonts w:ascii="標楷體" w:eastAsia="標楷體" w:hAnsi="標楷體"/>
          <w:b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b/>
          <w:color w:val="000000" w:themeColor="text1"/>
          <w:spacing w:val="20"/>
          <w:sz w:val="30"/>
        </w:rPr>
        <w:t>營業收支損益情形</w:t>
      </w:r>
      <w:r w:rsidR="00DC640D" w:rsidRPr="00122A88">
        <w:rPr>
          <w:rFonts w:ascii="標楷體" w:eastAsia="標楷體" w:hAnsi="標楷體" w:hint="eastAsia"/>
          <w:b/>
          <w:color w:val="000000" w:themeColor="text1"/>
          <w:spacing w:val="20"/>
          <w:sz w:val="30"/>
        </w:rPr>
        <w:t>（</w:t>
      </w:r>
      <w:r w:rsidR="00141489" w:rsidRPr="00122A88">
        <w:rPr>
          <w:rFonts w:ascii="標楷體" w:eastAsia="標楷體" w:hAnsi="標楷體" w:hint="eastAsia"/>
          <w:b/>
          <w:color w:val="000000" w:themeColor="text1"/>
          <w:spacing w:val="20"/>
          <w:sz w:val="30"/>
        </w:rPr>
        <w:t>詳</w:t>
      </w:r>
      <w:r w:rsidR="00E373A0" w:rsidRPr="00122A88">
        <w:rPr>
          <w:rFonts w:ascii="標楷體" w:eastAsia="標楷體" w:hAnsi="標楷體" w:hint="eastAsia"/>
          <w:b/>
          <w:color w:val="000000" w:themeColor="text1"/>
          <w:spacing w:val="20"/>
          <w:sz w:val="30"/>
        </w:rPr>
        <w:t>表及</w:t>
      </w:r>
      <w:r w:rsidR="00DC640D" w:rsidRPr="00122A88">
        <w:rPr>
          <w:rFonts w:ascii="標楷體" w:eastAsia="標楷體" w:hAnsi="標楷體" w:hint="eastAsia"/>
          <w:b/>
          <w:color w:val="000000" w:themeColor="text1"/>
          <w:spacing w:val="20"/>
          <w:sz w:val="30"/>
        </w:rPr>
        <w:t>圖</w:t>
      </w:r>
      <w:r w:rsidR="007E62C1" w:rsidRPr="00122A88">
        <w:rPr>
          <w:rFonts w:ascii="標楷體" w:eastAsia="標楷體" w:hAnsi="標楷體" w:hint="eastAsia"/>
          <w:b/>
          <w:color w:val="000000" w:themeColor="text1"/>
          <w:spacing w:val="20"/>
          <w:sz w:val="30"/>
        </w:rPr>
        <w:t>1</w:t>
      </w:r>
      <w:r w:rsidR="00DC640D" w:rsidRPr="00122A88">
        <w:rPr>
          <w:rFonts w:ascii="標楷體" w:eastAsia="標楷體" w:hAnsi="標楷體" w:hint="eastAsia"/>
          <w:b/>
          <w:color w:val="000000" w:themeColor="text1"/>
          <w:spacing w:val="20"/>
          <w:sz w:val="30"/>
        </w:rPr>
        <w:t>）</w:t>
      </w:r>
    </w:p>
    <w:p w:rsidR="0072282D" w:rsidRPr="00122A88" w:rsidRDefault="006E11AA" w:rsidP="00D02FD8">
      <w:pPr>
        <w:spacing w:beforeLines="50" w:before="120" w:line="500" w:lineRule="exact"/>
        <w:ind w:left="1520" w:hanging="1123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一、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收入部分</w:t>
      </w:r>
    </w:p>
    <w:p w:rsidR="0072282D" w:rsidRPr="00122A88" w:rsidRDefault="006E11AA" w:rsidP="00DF4C4D">
      <w:pPr>
        <w:spacing w:line="500" w:lineRule="exact"/>
        <w:ind w:leftChars="210" w:left="1512" w:rightChars="11" w:right="26" w:hangingChars="311" w:hanging="1008"/>
        <w:jc w:val="both"/>
        <w:outlineLvl w:val="0"/>
        <w:rPr>
          <w:rFonts w:ascii="標楷體" w:eastAsia="標楷體" w:hAnsi="標楷體"/>
          <w:color w:val="000000" w:themeColor="text1"/>
          <w:spacing w:val="12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（一）</w:t>
      </w:r>
      <w:bookmarkStart w:id="0" w:name="OLE_LINK1"/>
      <w:r w:rsidR="00D02FD8" w:rsidRPr="00D02FD8">
        <w:rPr>
          <w:rFonts w:ascii="標楷體" w:eastAsia="標楷體" w:hAnsi="標楷體" w:hint="eastAsia"/>
          <w:color w:val="000000" w:themeColor="text1"/>
          <w:spacing w:val="12"/>
          <w:sz w:val="2"/>
          <w:szCs w:val="2"/>
        </w:rPr>
        <w:t xml:space="preserve"> 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營業收入共列1兆</w:t>
      </w:r>
      <w:r w:rsidR="00BD6E60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4</w:t>
      </w:r>
      <w:r w:rsidR="00475E13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,</w:t>
      </w:r>
      <w:r w:rsidR="0034237D" w:rsidRPr="00122A88">
        <w:rPr>
          <w:rFonts w:ascii="標楷體" w:eastAsia="標楷體" w:hAnsi="標楷體"/>
          <w:color w:val="000000" w:themeColor="text1"/>
          <w:spacing w:val="12"/>
          <w:sz w:val="30"/>
        </w:rPr>
        <w:t>958</w:t>
      </w:r>
      <w:r w:rsidR="00AF1032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</w:t>
      </w:r>
      <w:r w:rsidR="002B117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元，較分配預算數</w:t>
      </w:r>
      <w:r w:rsidR="00BD6E60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增加1</w:t>
      </w:r>
      <w:r w:rsidR="00BD6E60" w:rsidRPr="00122A88">
        <w:rPr>
          <w:rFonts w:ascii="標楷體" w:eastAsia="標楷體" w:hAnsi="標楷體"/>
          <w:color w:val="000000" w:themeColor="text1"/>
          <w:spacing w:val="12"/>
          <w:sz w:val="30"/>
        </w:rPr>
        <w:t>,</w:t>
      </w:r>
      <w:r w:rsidR="0034237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742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</w:t>
      </w:r>
      <w:r w:rsidR="002B117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元，約</w:t>
      </w:r>
      <w:r w:rsidR="00BD6E60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增</w:t>
      </w:r>
      <w:r w:rsidR="0034237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13.2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％</w:t>
      </w:r>
      <w:bookmarkEnd w:id="0"/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。</w:t>
      </w:r>
    </w:p>
    <w:p w:rsidR="0072282D" w:rsidRPr="00122A88" w:rsidRDefault="006E11AA" w:rsidP="00D02FD8">
      <w:pPr>
        <w:spacing w:line="500" w:lineRule="exact"/>
        <w:ind w:leftChars="223" w:left="1510" w:hangingChars="301" w:hanging="975"/>
        <w:jc w:val="both"/>
        <w:outlineLvl w:val="0"/>
        <w:rPr>
          <w:rFonts w:ascii="標楷體" w:eastAsia="標楷體" w:hAnsi="標楷體"/>
          <w:color w:val="000000" w:themeColor="text1"/>
          <w:spacing w:val="12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（二）</w:t>
      </w:r>
      <w:r w:rsidR="00D02FD8" w:rsidRPr="00D02FD8">
        <w:rPr>
          <w:rFonts w:ascii="標楷體" w:eastAsia="標楷體" w:hAnsi="標楷體" w:hint="eastAsia"/>
          <w:color w:val="000000" w:themeColor="text1"/>
          <w:spacing w:val="12"/>
          <w:sz w:val="6"/>
          <w:szCs w:val="6"/>
        </w:rPr>
        <w:t xml:space="preserve"> </w:t>
      </w:r>
      <w:r w:rsidR="005F4A20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營業外收入共列</w:t>
      </w:r>
      <w:r w:rsidR="0034237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162</w:t>
      </w:r>
      <w:r w:rsidR="005F4A20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億餘元，較分配預算數增加</w:t>
      </w:r>
      <w:r w:rsidR="0034237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77</w:t>
      </w:r>
      <w:r w:rsidR="005F4A20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億餘元，約增</w:t>
      </w:r>
      <w:r w:rsidR="0034237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90.8</w:t>
      </w:r>
      <w:r w:rsidR="005F4A20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％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。</w:t>
      </w:r>
    </w:p>
    <w:p w:rsidR="0072282D" w:rsidRPr="00122A88" w:rsidRDefault="006E11AA" w:rsidP="00DF4C4D">
      <w:pPr>
        <w:spacing w:line="500" w:lineRule="exact"/>
        <w:ind w:leftChars="211" w:left="1510" w:rightChars="-6" w:right="-14" w:hangingChars="310" w:hanging="1004"/>
        <w:jc w:val="both"/>
        <w:outlineLvl w:val="0"/>
        <w:rPr>
          <w:rFonts w:ascii="標楷體" w:eastAsia="標楷體" w:hAnsi="標楷體"/>
          <w:color w:val="000000" w:themeColor="text1"/>
          <w:spacing w:val="12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（</w:t>
      </w:r>
      <w:r w:rsidR="00A16E07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三</w:t>
      </w:r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）</w:t>
      </w:r>
      <w:r w:rsidR="00DF4C4D">
        <w:rPr>
          <w:rFonts w:ascii="標楷體" w:eastAsia="標楷體" w:hAnsi="標楷體"/>
          <w:color w:val="000000" w:themeColor="text1"/>
          <w:spacing w:val="12"/>
          <w:sz w:val="2"/>
          <w:szCs w:val="2"/>
        </w:rPr>
        <w:t xml:space="preserve">  </w:t>
      </w:r>
      <w:r w:rsidR="0072282D" w:rsidRPr="00DF4C4D">
        <w:rPr>
          <w:rFonts w:ascii="標楷體" w:eastAsia="標楷體" w:hAnsi="標楷體" w:hint="eastAsia"/>
          <w:color w:val="000000" w:themeColor="text1"/>
          <w:spacing w:val="4"/>
          <w:sz w:val="30"/>
        </w:rPr>
        <w:t>以上收入部分共</w:t>
      </w:r>
      <w:r w:rsidR="005555D3" w:rsidRPr="00DF4C4D">
        <w:rPr>
          <w:rFonts w:ascii="標楷體" w:eastAsia="標楷體" w:hAnsi="標楷體" w:hint="eastAsia"/>
          <w:color w:val="000000" w:themeColor="text1"/>
          <w:spacing w:val="4"/>
          <w:sz w:val="30"/>
        </w:rPr>
        <w:t>列</w:t>
      </w:r>
      <w:r w:rsidR="0072282D" w:rsidRPr="00DF4C4D">
        <w:rPr>
          <w:rFonts w:ascii="標楷體" w:eastAsia="標楷體" w:hAnsi="標楷體" w:hint="eastAsia"/>
          <w:color w:val="000000" w:themeColor="text1"/>
          <w:spacing w:val="4"/>
          <w:sz w:val="30"/>
        </w:rPr>
        <w:t>1兆</w:t>
      </w:r>
      <w:r w:rsidR="0034237D" w:rsidRPr="00DF4C4D">
        <w:rPr>
          <w:rFonts w:ascii="標楷體" w:eastAsia="標楷體" w:hAnsi="標楷體" w:hint="eastAsia"/>
          <w:color w:val="000000" w:themeColor="text1"/>
          <w:spacing w:val="4"/>
          <w:sz w:val="30"/>
        </w:rPr>
        <w:t>5</w:t>
      </w:r>
      <w:r w:rsidR="005150F2" w:rsidRPr="00DF4C4D">
        <w:rPr>
          <w:rFonts w:ascii="標楷體" w:eastAsia="標楷體" w:hAnsi="標楷體" w:hint="eastAsia"/>
          <w:color w:val="000000" w:themeColor="text1"/>
          <w:spacing w:val="4"/>
          <w:sz w:val="30"/>
        </w:rPr>
        <w:t>,</w:t>
      </w:r>
      <w:r w:rsidR="0034237D" w:rsidRPr="00DF4C4D">
        <w:rPr>
          <w:rFonts w:ascii="標楷體" w:eastAsia="標楷體" w:hAnsi="標楷體"/>
          <w:color w:val="000000" w:themeColor="text1"/>
          <w:spacing w:val="4"/>
          <w:sz w:val="30"/>
        </w:rPr>
        <w:t>121</w:t>
      </w:r>
      <w:r w:rsidR="0072282D" w:rsidRPr="00DF4C4D">
        <w:rPr>
          <w:rFonts w:ascii="標楷體" w:eastAsia="標楷體" w:hAnsi="標楷體" w:hint="eastAsia"/>
          <w:color w:val="000000" w:themeColor="text1"/>
          <w:spacing w:val="4"/>
          <w:sz w:val="30"/>
        </w:rPr>
        <w:t>億</w:t>
      </w:r>
      <w:r w:rsidR="00A60904" w:rsidRPr="00DF4C4D">
        <w:rPr>
          <w:rFonts w:ascii="標楷體" w:eastAsia="標楷體" w:hAnsi="標楷體" w:hint="eastAsia"/>
          <w:color w:val="000000" w:themeColor="text1"/>
          <w:spacing w:val="4"/>
          <w:sz w:val="30"/>
        </w:rPr>
        <w:t>餘</w:t>
      </w:r>
      <w:r w:rsidR="0072282D" w:rsidRPr="00DF4C4D">
        <w:rPr>
          <w:rFonts w:ascii="標楷體" w:eastAsia="標楷體" w:hAnsi="標楷體" w:hint="eastAsia"/>
          <w:color w:val="000000" w:themeColor="text1"/>
          <w:spacing w:val="4"/>
          <w:sz w:val="30"/>
        </w:rPr>
        <w:t>元，較分配預算數</w:t>
      </w:r>
      <w:r w:rsidR="00823A23" w:rsidRPr="00DF4C4D">
        <w:rPr>
          <w:rFonts w:ascii="標楷體" w:eastAsia="標楷體" w:hAnsi="標楷體" w:hint="eastAsia"/>
          <w:color w:val="000000" w:themeColor="text1"/>
          <w:spacing w:val="4"/>
          <w:sz w:val="30"/>
        </w:rPr>
        <w:t>增加1</w:t>
      </w:r>
      <w:r w:rsidR="00823A23" w:rsidRPr="00DF4C4D">
        <w:rPr>
          <w:rFonts w:ascii="標楷體" w:eastAsia="標楷體" w:hAnsi="標楷體"/>
          <w:color w:val="000000" w:themeColor="text1"/>
          <w:spacing w:val="4"/>
          <w:sz w:val="30"/>
        </w:rPr>
        <w:t>,</w:t>
      </w:r>
      <w:r w:rsidR="0034237D" w:rsidRPr="00DF4C4D">
        <w:rPr>
          <w:rFonts w:ascii="標楷體" w:eastAsia="標楷體" w:hAnsi="標楷體" w:hint="eastAsia"/>
          <w:color w:val="000000" w:themeColor="text1"/>
          <w:spacing w:val="4"/>
          <w:sz w:val="30"/>
        </w:rPr>
        <w:t>820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</w:t>
      </w:r>
      <w:r w:rsidR="00A60904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元，約</w:t>
      </w:r>
      <w:r w:rsidR="00185BA8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增</w:t>
      </w:r>
      <w:r w:rsidR="0034237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13.7</w:t>
      </w:r>
      <w:r w:rsidR="00F6694C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％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。</w:t>
      </w:r>
    </w:p>
    <w:p w:rsidR="0072282D" w:rsidRPr="00122A88" w:rsidRDefault="006E11AA" w:rsidP="00D02FD8">
      <w:pPr>
        <w:spacing w:beforeLines="50" w:before="120" w:line="500" w:lineRule="exact"/>
        <w:ind w:left="1520" w:hanging="1123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二、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支出部分</w:t>
      </w:r>
    </w:p>
    <w:p w:rsidR="0072282D" w:rsidRPr="00122A88" w:rsidRDefault="006E11AA" w:rsidP="00F857AA">
      <w:pPr>
        <w:spacing w:line="500" w:lineRule="exact"/>
        <w:ind w:leftChars="205" w:left="1513" w:hangingChars="315" w:hanging="1021"/>
        <w:jc w:val="both"/>
        <w:outlineLvl w:val="0"/>
        <w:rPr>
          <w:rFonts w:ascii="標楷體" w:eastAsia="標楷體" w:hAnsi="標楷體"/>
          <w:color w:val="000000" w:themeColor="text1"/>
          <w:spacing w:val="12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（一）</w:t>
      </w:r>
      <w:r w:rsidR="00F857AA">
        <w:rPr>
          <w:rFonts w:ascii="標楷體" w:eastAsia="標楷體" w:hAnsi="標楷體" w:hint="eastAsia"/>
          <w:color w:val="000000" w:themeColor="text1"/>
          <w:spacing w:val="12"/>
          <w:sz w:val="6"/>
          <w:szCs w:val="6"/>
        </w:rPr>
        <w:t xml:space="preserve"> 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營業成本共列1兆</w:t>
      </w:r>
      <w:r w:rsidR="00D05915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2</w:t>
      </w:r>
      <w:r w:rsidR="00D05915" w:rsidRPr="00122A88">
        <w:rPr>
          <w:rFonts w:ascii="標楷體" w:eastAsia="標楷體" w:hAnsi="標楷體"/>
          <w:color w:val="000000" w:themeColor="text1"/>
          <w:spacing w:val="12"/>
          <w:sz w:val="30"/>
        </w:rPr>
        <w:t>,</w:t>
      </w:r>
      <w:r w:rsidR="007700BA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760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</w:t>
      </w:r>
      <w:r w:rsidR="00821837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元，較分配預算數</w:t>
      </w:r>
      <w:r w:rsidR="003707A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增加</w:t>
      </w:r>
      <w:r w:rsidR="007700BA" w:rsidRPr="00122A88">
        <w:rPr>
          <w:rFonts w:ascii="標楷體" w:eastAsia="標楷體" w:hAnsi="標楷體"/>
          <w:color w:val="000000" w:themeColor="text1"/>
          <w:spacing w:val="12"/>
          <w:sz w:val="30"/>
        </w:rPr>
        <w:t>1,293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</w:t>
      </w:r>
      <w:r w:rsidR="00821837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元，約</w:t>
      </w:r>
      <w:r w:rsidR="003707A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增</w:t>
      </w:r>
      <w:r w:rsidR="007700BA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11.3</w:t>
      </w:r>
      <w:r w:rsidR="00F6694C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％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。</w:t>
      </w:r>
    </w:p>
    <w:p w:rsidR="0072282D" w:rsidRPr="00122A88" w:rsidRDefault="006E11AA" w:rsidP="00F857AA">
      <w:pPr>
        <w:kinsoku w:val="0"/>
        <w:overflowPunct w:val="0"/>
        <w:autoSpaceDE w:val="0"/>
        <w:autoSpaceDN w:val="0"/>
        <w:spacing w:line="500" w:lineRule="exact"/>
        <w:ind w:leftChars="219" w:left="1566" w:hangingChars="321" w:hanging="1040"/>
        <w:jc w:val="both"/>
        <w:outlineLvl w:val="0"/>
        <w:rPr>
          <w:rFonts w:ascii="標楷體" w:eastAsia="標楷體" w:hAnsi="標楷體"/>
          <w:color w:val="000000" w:themeColor="text1"/>
          <w:spacing w:val="12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（二）</w:t>
      </w:r>
      <w:r w:rsidR="00F857AA" w:rsidRPr="00F857AA">
        <w:rPr>
          <w:rFonts w:ascii="標楷體" w:eastAsia="標楷體" w:hAnsi="標楷體" w:hint="eastAsia"/>
          <w:color w:val="000000" w:themeColor="text1"/>
          <w:spacing w:val="12"/>
          <w:sz w:val="4"/>
          <w:szCs w:val="4"/>
        </w:rPr>
        <w:t xml:space="preserve"> 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營業費用共列</w:t>
      </w:r>
      <w:r w:rsidR="007700BA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609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</w:t>
      </w:r>
      <w:r w:rsidR="0031145F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元，較分配預算數</w:t>
      </w:r>
      <w:r w:rsidR="00C940BF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減少</w:t>
      </w:r>
      <w:r w:rsidR="007700BA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65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</w:t>
      </w:r>
      <w:r w:rsidR="0031145F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餘</w:t>
      </w:r>
      <w:r w:rsidR="0029494F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元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，約</w:t>
      </w:r>
      <w:r w:rsidR="00C940BF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減</w:t>
      </w:r>
      <w:r w:rsidR="007700BA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9.7</w:t>
      </w:r>
      <w:r w:rsidR="00F6694C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％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。</w:t>
      </w:r>
    </w:p>
    <w:p w:rsidR="0072282D" w:rsidRPr="00122A88" w:rsidRDefault="006E11AA" w:rsidP="00A0276C">
      <w:pPr>
        <w:kinsoku w:val="0"/>
        <w:overflowPunct w:val="0"/>
        <w:autoSpaceDE w:val="0"/>
        <w:autoSpaceDN w:val="0"/>
        <w:spacing w:line="46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color w:val="000000" w:themeColor="text1"/>
          <w:spacing w:val="12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lastRenderedPageBreak/>
        <w:t>（三）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營業外費用共列</w:t>
      </w:r>
      <w:r w:rsidR="005D6FB5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278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</w:t>
      </w:r>
      <w:r w:rsidR="0031145F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元，較分配預算數</w:t>
      </w:r>
      <w:r w:rsidR="00A6402F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增加</w:t>
      </w:r>
      <w:r w:rsidR="005D6FB5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15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</w:t>
      </w:r>
      <w:r w:rsidR="0031145F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元，約</w:t>
      </w:r>
      <w:r w:rsidR="003A0BB4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增</w:t>
      </w:r>
      <w:r w:rsidR="005D6FB5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6</w:t>
      </w:r>
      <w:r w:rsidR="00F6694C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％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。</w:t>
      </w:r>
    </w:p>
    <w:p w:rsidR="0072282D" w:rsidRPr="00122A88" w:rsidRDefault="006E11AA" w:rsidP="00A0276C">
      <w:pPr>
        <w:kinsoku w:val="0"/>
        <w:overflowPunct w:val="0"/>
        <w:autoSpaceDE w:val="0"/>
        <w:autoSpaceDN w:val="0"/>
        <w:spacing w:line="46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color w:val="000000" w:themeColor="text1"/>
          <w:spacing w:val="12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（四）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所得稅</w:t>
      </w:r>
      <w:r w:rsidR="00B31483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費用</w:t>
      </w:r>
      <w:r w:rsidR="00914D0E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共列</w:t>
      </w:r>
      <w:r w:rsidR="005D6FB5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104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</w:t>
      </w:r>
      <w:r w:rsidR="0031145F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元，</w:t>
      </w:r>
      <w:r w:rsidR="00A345A5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較</w:t>
      </w:r>
      <w:r w:rsidR="0072282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分配預算</w:t>
      </w:r>
      <w:r w:rsidR="00B31483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數</w:t>
      </w:r>
      <w:r w:rsidR="001A57D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增加</w:t>
      </w:r>
      <w:r w:rsidR="005D6FB5" w:rsidRPr="00122A88">
        <w:rPr>
          <w:rFonts w:ascii="標楷體" w:eastAsia="標楷體" w:hAnsi="標楷體"/>
          <w:color w:val="000000" w:themeColor="text1"/>
          <w:spacing w:val="12"/>
          <w:sz w:val="30"/>
        </w:rPr>
        <w:t>5</w:t>
      </w:r>
      <w:r w:rsidR="00282C95" w:rsidRPr="00122A88">
        <w:rPr>
          <w:rFonts w:ascii="標楷體" w:eastAsia="標楷體" w:hAnsi="標楷體"/>
          <w:color w:val="000000" w:themeColor="text1"/>
          <w:spacing w:val="12"/>
          <w:sz w:val="30"/>
        </w:rPr>
        <w:t>5</w:t>
      </w:r>
      <w:r w:rsidR="00A345A5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億餘元</w:t>
      </w:r>
      <w:r w:rsidR="00914D0E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，</w:t>
      </w:r>
      <w:r w:rsidR="00A345A5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約</w:t>
      </w:r>
      <w:r w:rsidR="001A57DD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增</w:t>
      </w:r>
      <w:r w:rsidR="005D6FB5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112.8</w:t>
      </w:r>
      <w:r w:rsidR="00A345A5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％</w:t>
      </w:r>
      <w:r w:rsidR="00914D0E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。</w:t>
      </w:r>
    </w:p>
    <w:p w:rsidR="009F20C4" w:rsidRPr="00122A88" w:rsidRDefault="009F20C4" w:rsidP="00A0276C">
      <w:pPr>
        <w:kinsoku w:val="0"/>
        <w:overflowPunct w:val="0"/>
        <w:autoSpaceDE w:val="0"/>
        <w:autoSpaceDN w:val="0"/>
        <w:spacing w:line="46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color w:val="000000" w:themeColor="text1"/>
          <w:spacing w:val="12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（五）停業單位損失共列4億餘元，分配</w:t>
      </w:r>
      <w:proofErr w:type="gramStart"/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預算無列數</w:t>
      </w:r>
      <w:proofErr w:type="gramEnd"/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，係台灣糖業股份有限公司量販事業部結束營業，其相關收支互抵之淨損失。</w:t>
      </w:r>
    </w:p>
    <w:p w:rsidR="00FD22E7" w:rsidRPr="00122A88" w:rsidRDefault="00FD22E7" w:rsidP="00FD22E7">
      <w:pPr>
        <w:kinsoku w:val="0"/>
        <w:overflowPunct w:val="0"/>
        <w:autoSpaceDE w:val="0"/>
        <w:autoSpaceDN w:val="0"/>
        <w:spacing w:line="46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color w:val="000000" w:themeColor="text1"/>
          <w:spacing w:val="12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（六）以上支出部分共列1兆3,757億餘元，較分配預算數增加1,303億餘元，約增10.5％。</w:t>
      </w:r>
    </w:p>
    <w:p w:rsidR="0072282D" w:rsidRPr="00122A88" w:rsidRDefault="009F20C4" w:rsidP="00A0276C">
      <w:pPr>
        <w:spacing w:beforeLines="20" w:before="48" w:line="500" w:lineRule="exact"/>
        <w:ind w:left="1520" w:hanging="1123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三</w:t>
      </w:r>
      <w:r w:rsidR="00386E40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、</w:t>
      </w:r>
      <w:r w:rsidR="0066045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本期淨利</w:t>
      </w:r>
    </w:p>
    <w:p w:rsidR="0072282D" w:rsidRDefault="0072282D" w:rsidP="00A0276C">
      <w:pPr>
        <w:spacing w:line="460" w:lineRule="exact"/>
        <w:ind w:left="1077" w:firstLineChars="200" w:firstLine="68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以上收支</w:t>
      </w:r>
      <w:r w:rsidR="00D174F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互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抵後，</w:t>
      </w:r>
      <w:r w:rsidR="00EB5BE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發生本期</w:t>
      </w:r>
      <w:r w:rsidR="00806351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淨利</w:t>
      </w:r>
      <w:r w:rsidR="00DE005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1,363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</w:t>
      </w:r>
      <w:r w:rsidR="00A65D5E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餘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元，</w:t>
      </w:r>
      <w:r w:rsidR="00A6402F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較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分配預算</w:t>
      </w:r>
      <w:r w:rsidR="009E3469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淨利</w:t>
      </w:r>
      <w:r w:rsidR="00806351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數</w:t>
      </w:r>
      <w:r w:rsidR="00493571" w:rsidRPr="00122A88">
        <w:rPr>
          <w:rFonts w:ascii="標楷體" w:eastAsia="標楷體" w:hAnsi="標楷體" w:hint="eastAsia"/>
          <w:color w:val="000000" w:themeColor="text1"/>
          <w:spacing w:val="12"/>
          <w:sz w:val="30"/>
        </w:rPr>
        <w:t>增加</w:t>
      </w:r>
      <w:r w:rsidR="00282C95" w:rsidRPr="00122A88">
        <w:rPr>
          <w:rFonts w:ascii="標楷體" w:eastAsia="標楷體" w:hAnsi="標楷體"/>
          <w:color w:val="000000" w:themeColor="text1"/>
          <w:spacing w:val="12"/>
          <w:sz w:val="30"/>
        </w:rPr>
        <w:t>51</w:t>
      </w:r>
      <w:r w:rsidR="00DE005A" w:rsidRPr="00122A88">
        <w:rPr>
          <w:rFonts w:ascii="標楷體" w:eastAsia="標楷體" w:hAnsi="標楷體"/>
          <w:color w:val="000000" w:themeColor="text1"/>
          <w:spacing w:val="12"/>
          <w:sz w:val="30"/>
        </w:rPr>
        <w:t>7</w:t>
      </w:r>
      <w:r w:rsidR="0001577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億餘元</w:t>
      </w:r>
      <w:r w:rsidR="00DF5A5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，</w:t>
      </w:r>
      <w:r w:rsidR="005555D3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約增</w:t>
      </w:r>
      <w:r w:rsidR="00DE005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61.1</w:t>
      </w:r>
      <w:r w:rsidR="005555D3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％，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主要係</w:t>
      </w:r>
      <w:r w:rsidR="00EE4C6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中央銀行因外幣兌換利益較預期增加</w:t>
      </w:r>
      <w:r w:rsidR="00EE4C6A" w:rsidRPr="00122A88">
        <w:rPr>
          <w:rFonts w:ascii="新細明體" w:eastAsia="新細明體" w:hAnsi="新細明體" w:hint="eastAsia"/>
          <w:color w:val="000000" w:themeColor="text1"/>
          <w:spacing w:val="20"/>
          <w:sz w:val="30"/>
        </w:rPr>
        <w:t>，</w:t>
      </w:r>
      <w:r w:rsidR="00EE4C6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及</w:t>
      </w:r>
      <w:r w:rsidR="00F96E4C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台灣中油股份有限公司因國際原油價格上漲、產品售價調升與成本延後反映使毛利提高</w:t>
      </w:r>
      <w:r w:rsidR="00C50864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等</w:t>
      </w:r>
      <w:r w:rsidR="0031654E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所致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。</w:t>
      </w:r>
    </w:p>
    <w:p w:rsidR="005166A1" w:rsidRPr="00122A88" w:rsidRDefault="005166A1" w:rsidP="00A0276C">
      <w:pPr>
        <w:spacing w:line="460" w:lineRule="exact"/>
        <w:ind w:left="1077" w:firstLineChars="200" w:firstLine="68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</w:p>
    <w:p w:rsidR="00003DEF" w:rsidRPr="00122A88" w:rsidRDefault="00003DEF" w:rsidP="00A0276C">
      <w:pPr>
        <w:pStyle w:val="Standard"/>
        <w:spacing w:afterLines="20" w:after="48"/>
        <w:ind w:firstLineChars="900" w:firstLine="3060"/>
        <w:outlineLvl w:val="0"/>
        <w:rPr>
          <w:rFonts w:eastAsia="標楷體"/>
          <w:color w:val="000000" w:themeColor="text1"/>
          <w:spacing w:val="20"/>
          <w:sz w:val="30"/>
          <w:szCs w:val="30"/>
        </w:rPr>
      </w:pPr>
      <w:r w:rsidRPr="00122A88">
        <w:rPr>
          <w:rFonts w:eastAsia="標楷體" w:hint="eastAsia"/>
          <w:color w:val="000000" w:themeColor="text1"/>
          <w:spacing w:val="20"/>
          <w:sz w:val="30"/>
          <w:szCs w:val="30"/>
        </w:rPr>
        <w:t>表</w:t>
      </w:r>
      <w:r w:rsidRPr="00122A88">
        <w:rPr>
          <w:rFonts w:eastAsia="標楷體"/>
          <w:color w:val="000000" w:themeColor="text1"/>
          <w:spacing w:val="20"/>
          <w:sz w:val="30"/>
          <w:szCs w:val="30"/>
        </w:rPr>
        <w:t xml:space="preserve"> </w:t>
      </w:r>
      <w:r w:rsidRPr="00122A88">
        <w:rPr>
          <w:rFonts w:eastAsia="標楷體"/>
          <w:color w:val="000000" w:themeColor="text1"/>
          <w:sz w:val="30"/>
          <w:szCs w:val="30"/>
        </w:rPr>
        <w:t>國營事業收入與支出</w:t>
      </w:r>
      <w:r w:rsidRPr="00122A88">
        <w:rPr>
          <w:rFonts w:eastAsia="標楷體" w:hint="eastAsia"/>
          <w:color w:val="000000" w:themeColor="text1"/>
          <w:sz w:val="30"/>
          <w:szCs w:val="30"/>
        </w:rPr>
        <w:t>情形</w:t>
      </w:r>
    </w:p>
    <w:p w:rsidR="00003DEF" w:rsidRPr="00122A88" w:rsidRDefault="00003DEF" w:rsidP="00003DEF">
      <w:pPr>
        <w:spacing w:line="200" w:lineRule="exact"/>
        <w:jc w:val="center"/>
        <w:rPr>
          <w:rFonts w:eastAsia="標楷體"/>
          <w:color w:val="000000" w:themeColor="text1"/>
          <w:spacing w:val="20"/>
          <w:sz w:val="32"/>
        </w:rPr>
      </w:pPr>
      <w:r w:rsidRPr="00122A88">
        <w:rPr>
          <w:rFonts w:eastAsia="標楷體"/>
          <w:color w:val="000000" w:themeColor="text1"/>
          <w:spacing w:val="20"/>
          <w:szCs w:val="24"/>
        </w:rPr>
        <w:t xml:space="preserve">                  </w:t>
      </w:r>
      <w:r w:rsidR="00FF5A95" w:rsidRPr="00122A88">
        <w:rPr>
          <w:rFonts w:eastAsia="標楷體"/>
          <w:color w:val="000000" w:themeColor="text1"/>
          <w:spacing w:val="20"/>
          <w:szCs w:val="24"/>
        </w:rPr>
        <w:t xml:space="preserve">                              </w:t>
      </w:r>
      <w:r w:rsidR="00FF5A95" w:rsidRPr="00122A88">
        <w:rPr>
          <w:rFonts w:ascii="標楷體" w:eastAsia="標楷體" w:hAnsi="標楷體" w:hint="eastAsia"/>
          <w:color w:val="000000" w:themeColor="text1"/>
          <w:sz w:val="20"/>
        </w:rPr>
        <w:t>單位：新臺幣億元</w:t>
      </w:r>
    </w:p>
    <w:tbl>
      <w:tblPr>
        <w:tblW w:w="9057" w:type="dxa"/>
        <w:tblInd w:w="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1717"/>
        <w:gridCol w:w="1671"/>
        <w:gridCol w:w="1828"/>
        <w:gridCol w:w="1778"/>
      </w:tblGrid>
      <w:tr w:rsidR="00307275" w:rsidRPr="00122A88" w:rsidTr="00307275">
        <w:trPr>
          <w:trHeight w:val="269"/>
        </w:trPr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75" w:rsidRPr="00307275" w:rsidRDefault="00307275" w:rsidP="008A2846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bookmarkStart w:id="1" w:name="_1553874691"/>
            <w:bookmarkStart w:id="2" w:name="_1522505183"/>
            <w:bookmarkStart w:id="3" w:name="_1522425911"/>
            <w:bookmarkStart w:id="4" w:name="_1522425889"/>
            <w:bookmarkStart w:id="5" w:name="_1522063850"/>
            <w:bookmarkStart w:id="6" w:name="_1491122794"/>
            <w:bookmarkStart w:id="7" w:name="_1491053391"/>
            <w:bookmarkStart w:id="8" w:name="_1491053343"/>
            <w:bookmarkStart w:id="9" w:name="_1491053316"/>
            <w:bookmarkStart w:id="10" w:name="_1491053277"/>
            <w:bookmarkStart w:id="11" w:name="_1491053153"/>
            <w:bookmarkStart w:id="12" w:name="_1491026583"/>
            <w:bookmarkStart w:id="13" w:name="_1491025486"/>
            <w:bookmarkStart w:id="14" w:name="_1491025455"/>
            <w:bookmarkStart w:id="15" w:name="_1491025433"/>
            <w:bookmarkStart w:id="16" w:name="_1490877315"/>
            <w:bookmarkStart w:id="17" w:name="_1490877294"/>
            <w:bookmarkStart w:id="18" w:name="_1490877177"/>
            <w:bookmarkStart w:id="19" w:name="_1490877085"/>
            <w:bookmarkStart w:id="20" w:name="_1490876980"/>
            <w:bookmarkStart w:id="21" w:name="_1490876731"/>
            <w:bookmarkStart w:id="22" w:name="_1459361362"/>
            <w:bookmarkStart w:id="23" w:name="_1459361164"/>
            <w:bookmarkStart w:id="24" w:name="_1459319570"/>
            <w:bookmarkStart w:id="25" w:name="_1459319381"/>
            <w:bookmarkStart w:id="26" w:name="_1459318693"/>
            <w:bookmarkStart w:id="27" w:name="_1427215741"/>
            <w:bookmarkStart w:id="28" w:name="_1427215733"/>
            <w:bookmarkStart w:id="29" w:name="_1395994319"/>
            <w:bookmarkStart w:id="30" w:name="_1395994289"/>
            <w:bookmarkStart w:id="31" w:name="_1395994244"/>
            <w:bookmarkStart w:id="32" w:name="_1395994039"/>
            <w:bookmarkStart w:id="33" w:name="_1395994030"/>
            <w:bookmarkStart w:id="34" w:name="_1364826689"/>
            <w:bookmarkStart w:id="35" w:name="_1364318261"/>
            <w:bookmarkStart w:id="36" w:name="_1364303446"/>
            <w:bookmarkStart w:id="37" w:name="_136430331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307275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收入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75" w:rsidRPr="00307275" w:rsidRDefault="00307275" w:rsidP="003E6023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實際數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75" w:rsidRPr="00307275" w:rsidRDefault="00307275" w:rsidP="003E6023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分配</w:t>
            </w:r>
          </w:p>
          <w:p w:rsidR="00307275" w:rsidRPr="00307275" w:rsidRDefault="00307275" w:rsidP="003E6023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預算數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75" w:rsidRPr="00307275" w:rsidRDefault="00307275" w:rsidP="00307275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比較增減</w:t>
            </w:r>
            <w:r w:rsidRPr="00307275">
              <w:rPr>
                <w:rFonts w:eastAsia="標楷體"/>
                <w:color w:val="000000" w:themeColor="text1"/>
                <w:szCs w:val="24"/>
              </w:rPr>
              <w:t>(1)-(2)</w:t>
            </w:r>
          </w:p>
        </w:tc>
      </w:tr>
      <w:tr w:rsidR="00307275" w:rsidRPr="00122A88" w:rsidTr="00307275"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75" w:rsidRPr="00307275" w:rsidRDefault="00307275" w:rsidP="00761C89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75" w:rsidRPr="00307275" w:rsidRDefault="00307275" w:rsidP="00761C89">
            <w:pPr>
              <w:pStyle w:val="Standard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07275">
              <w:rPr>
                <w:rFonts w:eastAsia="標楷體"/>
                <w:color w:val="000000" w:themeColor="text1"/>
                <w:szCs w:val="24"/>
              </w:rPr>
              <w:t>(1)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75" w:rsidRPr="00307275" w:rsidRDefault="00307275" w:rsidP="00761C89">
            <w:pPr>
              <w:pStyle w:val="Standard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07275">
              <w:rPr>
                <w:rFonts w:eastAsia="標楷體"/>
                <w:color w:val="000000" w:themeColor="text1"/>
                <w:szCs w:val="24"/>
              </w:rPr>
              <w:t>(2)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75" w:rsidRPr="00307275" w:rsidRDefault="00307275" w:rsidP="00761C89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金額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275" w:rsidRPr="00307275" w:rsidRDefault="00307275" w:rsidP="00307275">
            <w:pPr>
              <w:pStyle w:val="Standard"/>
              <w:ind w:leftChars="5" w:left="22" w:rightChars="-320" w:right="-768" w:hangingChars="4" w:hanging="1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占分配預算數％</w:t>
            </w:r>
          </w:p>
        </w:tc>
      </w:tr>
      <w:tr w:rsidR="00307275" w:rsidRPr="00122A88" w:rsidTr="00307275">
        <w:tc>
          <w:tcPr>
            <w:tcW w:w="206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75" w:rsidRPr="00307275" w:rsidRDefault="00307275" w:rsidP="007041CA">
            <w:pPr>
              <w:pStyle w:val="Standard"/>
              <w:ind w:leftChars="-37" w:left="12" w:hangingChars="42" w:hanging="101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bookmarkStart w:id="38" w:name="_GoBack"/>
            <w:bookmarkEnd w:id="38"/>
            <w:r w:rsidRPr="00307275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總收入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48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15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121.49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307275">
            <w:pPr>
              <w:pStyle w:val="Standard"/>
              <w:ind w:left="-48" w:right="-48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13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301.39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Chars="-55" w:left="26" w:right="-319" w:hangingChars="66" w:hanging="158"/>
              <w:jc w:val="center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rFonts w:eastAsia="新細明體"/>
                <w:color w:val="000000" w:themeColor="text1"/>
                <w:szCs w:val="24"/>
              </w:rPr>
              <w:t xml:space="preserve">     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1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820.1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7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13.7</w:t>
            </w:r>
          </w:p>
        </w:tc>
      </w:tr>
      <w:tr w:rsidR="00307275" w:rsidRPr="00122A88" w:rsidTr="00307275">
        <w:tc>
          <w:tcPr>
            <w:tcW w:w="206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75" w:rsidRPr="00307275" w:rsidRDefault="00307275" w:rsidP="00EB7BA1">
            <w:pPr>
              <w:pStyle w:val="Standard"/>
              <w:ind w:leftChars="-20" w:left="-48" w:firstLineChars="58" w:firstLine="139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營業收入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48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14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958.81</w:t>
            </w:r>
          </w:p>
        </w:tc>
        <w:tc>
          <w:tcPr>
            <w:tcW w:w="167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307275">
            <w:pPr>
              <w:pStyle w:val="Standard"/>
              <w:ind w:left="-48" w:right="-48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13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216.15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60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742.66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5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13.2</w:t>
            </w:r>
          </w:p>
        </w:tc>
      </w:tr>
      <w:tr w:rsidR="00307275" w:rsidRPr="00122A88" w:rsidTr="00307275">
        <w:tc>
          <w:tcPr>
            <w:tcW w:w="206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75" w:rsidRPr="00307275" w:rsidRDefault="00307275" w:rsidP="00EB7BA1">
            <w:pPr>
              <w:pStyle w:val="Standard"/>
              <w:ind w:leftChars="-64" w:left="-15" w:hangingChars="58" w:hanging="139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 xml:space="preserve"> </w:t>
            </w:r>
            <w:r w:rsidRPr="00307275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 xml:space="preserve"> 營業外收入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48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162.68</w:t>
            </w:r>
          </w:p>
        </w:tc>
        <w:tc>
          <w:tcPr>
            <w:tcW w:w="167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307275">
            <w:pPr>
              <w:pStyle w:val="Standard"/>
              <w:ind w:left="-48" w:right="-48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85.24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80" w:right="-223" w:firstLineChars="483" w:firstLine="1159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77.44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-362" w:firstLineChars="571" w:firstLine="1370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90.8</w:t>
            </w:r>
          </w:p>
        </w:tc>
      </w:tr>
      <w:tr w:rsidR="00307275" w:rsidRPr="00122A88" w:rsidTr="00307275">
        <w:tc>
          <w:tcPr>
            <w:tcW w:w="206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275" w:rsidRPr="00307275" w:rsidRDefault="00307275" w:rsidP="00307275">
            <w:pPr>
              <w:pStyle w:val="Standard"/>
              <w:ind w:leftChars="-39" w:left="31" w:hangingChars="52" w:hanging="125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總支出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E27108" w:rsidP="00E27108">
            <w:pPr>
              <w:pStyle w:val="Standard"/>
              <w:ind w:left="-48" w:right="-50" w:firstLineChars="88" w:firstLine="211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rFonts w:eastAsia="新細明體"/>
                <w:color w:val="000000" w:themeColor="text1"/>
                <w:szCs w:val="24"/>
              </w:rPr>
              <w:t xml:space="preserve">  </w:t>
            </w:r>
            <w:r w:rsidR="00307275" w:rsidRPr="00307275">
              <w:rPr>
                <w:rFonts w:eastAsia="新細明體" w:hint="eastAsia"/>
                <w:color w:val="000000" w:themeColor="text1"/>
                <w:szCs w:val="24"/>
              </w:rPr>
              <w:t>13</w:t>
            </w:r>
            <w:r w:rsidR="00307275"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="00307275" w:rsidRPr="00307275">
              <w:rPr>
                <w:rFonts w:eastAsia="新細明體" w:hint="eastAsia"/>
                <w:color w:val="000000" w:themeColor="text1"/>
                <w:szCs w:val="24"/>
              </w:rPr>
              <w:t>757.69</w:t>
            </w:r>
          </w:p>
        </w:tc>
        <w:tc>
          <w:tcPr>
            <w:tcW w:w="167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36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12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454.66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303.03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10.5</w:t>
            </w:r>
          </w:p>
        </w:tc>
      </w:tr>
      <w:tr w:rsidR="00307275" w:rsidRPr="00122A88" w:rsidTr="00307275">
        <w:tc>
          <w:tcPr>
            <w:tcW w:w="206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307275">
            <w:pPr>
              <w:pStyle w:val="Standard"/>
              <w:ind w:left="-48" w:right="312" w:firstLineChars="50" w:firstLine="120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營業成本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50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12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760.48</w:t>
            </w:r>
          </w:p>
        </w:tc>
        <w:tc>
          <w:tcPr>
            <w:tcW w:w="167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50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11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,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467.38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18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.</w:t>
            </w:r>
            <w:r w:rsidRPr="00307275">
              <w:rPr>
                <w:rFonts w:eastAsia="新細明體" w:hint="eastAsia"/>
                <w:color w:val="000000" w:themeColor="text1"/>
                <w:szCs w:val="24"/>
              </w:rPr>
              <w:t>293.1</w:t>
            </w:r>
            <w:r w:rsidRPr="00307275">
              <w:rPr>
                <w:rFonts w:eastAsia="新細明體"/>
                <w:color w:val="000000" w:themeColor="text1"/>
                <w:szCs w:val="24"/>
              </w:rP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18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11.3</w:t>
            </w:r>
          </w:p>
        </w:tc>
      </w:tr>
      <w:tr w:rsidR="00307275" w:rsidRPr="00122A88" w:rsidTr="00307275">
        <w:tc>
          <w:tcPr>
            <w:tcW w:w="206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307275">
            <w:pPr>
              <w:pStyle w:val="Standard"/>
              <w:ind w:left="-48" w:right="312" w:firstLineChars="50" w:firstLine="120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營業費用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36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609.56</w:t>
            </w:r>
          </w:p>
        </w:tc>
        <w:tc>
          <w:tcPr>
            <w:tcW w:w="167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50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675.27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-65.71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9.7</w:t>
            </w:r>
          </w:p>
        </w:tc>
      </w:tr>
      <w:tr w:rsidR="00307275" w:rsidRPr="00122A88" w:rsidTr="00307275">
        <w:tc>
          <w:tcPr>
            <w:tcW w:w="206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307275">
            <w:pPr>
              <w:pStyle w:val="Standard"/>
              <w:ind w:leftChars="-22" w:left="-53" w:firstLineChars="50" w:firstLine="120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營業外費用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Chars="-24" w:right="-50" w:hangingChars="24" w:hanging="58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278.52</w:t>
            </w:r>
          </w:p>
        </w:tc>
        <w:tc>
          <w:tcPr>
            <w:tcW w:w="167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50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262.78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15.74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6.0</w:t>
            </w:r>
          </w:p>
        </w:tc>
      </w:tr>
      <w:tr w:rsidR="00307275" w:rsidRPr="00122A88" w:rsidTr="00307275">
        <w:tc>
          <w:tcPr>
            <w:tcW w:w="206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307275">
            <w:pPr>
              <w:pStyle w:val="Standard"/>
              <w:ind w:leftChars="-11" w:left="-26" w:right="171" w:firstLineChars="50" w:firstLine="120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所得稅費用</w:t>
            </w:r>
          </w:p>
          <w:p w:rsidR="00307275" w:rsidRPr="00307275" w:rsidRDefault="00307275" w:rsidP="00307275">
            <w:pPr>
              <w:pStyle w:val="Standard"/>
              <w:ind w:leftChars="-11" w:left="-26" w:right="29" w:firstLineChars="50" w:firstLine="120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307275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停業單位損失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36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104.74</w:t>
            </w:r>
          </w:p>
          <w:p w:rsidR="00307275" w:rsidRPr="00307275" w:rsidRDefault="00307275" w:rsidP="00E27108">
            <w:pPr>
              <w:pStyle w:val="Standard"/>
              <w:ind w:left="-48" w:right="-36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4.39</w:t>
            </w:r>
          </w:p>
        </w:tc>
        <w:tc>
          <w:tcPr>
            <w:tcW w:w="167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50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49.23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55.51</w:t>
            </w:r>
          </w:p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/>
                <w:color w:val="000000" w:themeColor="text1"/>
                <w:szCs w:val="24"/>
              </w:rPr>
              <w:t>4.39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 w:rsidRPr="00307275">
              <w:rPr>
                <w:rFonts w:eastAsia="新細明體" w:hint="eastAsia"/>
                <w:color w:val="000000" w:themeColor="text1"/>
                <w:szCs w:val="24"/>
              </w:rPr>
              <w:t>112.8</w:t>
            </w:r>
          </w:p>
        </w:tc>
      </w:tr>
      <w:tr w:rsidR="00307275" w:rsidRPr="00122A88" w:rsidTr="00307275">
        <w:tc>
          <w:tcPr>
            <w:tcW w:w="206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11279E">
            <w:pPr>
              <w:pStyle w:val="Standard"/>
              <w:ind w:leftChars="-37" w:right="171" w:hangingChars="37" w:hanging="89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本期淨利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22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rFonts w:eastAsia="新細明體" w:hint="eastAsia"/>
                <w:color w:val="000000" w:themeColor="text1"/>
                <w:szCs w:val="24"/>
              </w:rPr>
              <w:t>1</w:t>
            </w:r>
            <w:r>
              <w:rPr>
                <w:rFonts w:eastAsia="新細明體"/>
                <w:color w:val="000000" w:themeColor="text1"/>
                <w:szCs w:val="24"/>
              </w:rPr>
              <w:t>,</w:t>
            </w:r>
            <w:r>
              <w:rPr>
                <w:rFonts w:eastAsia="新細明體" w:hint="eastAsia"/>
                <w:color w:val="000000" w:themeColor="text1"/>
                <w:szCs w:val="24"/>
              </w:rPr>
              <w:t>363.80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75" w:rsidRPr="00307275" w:rsidRDefault="00307275" w:rsidP="00E27108">
            <w:pPr>
              <w:pStyle w:val="Standard"/>
              <w:ind w:left="-48" w:right="-50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rFonts w:eastAsia="新細明體" w:hint="eastAsia"/>
                <w:color w:val="000000" w:themeColor="text1"/>
                <w:szCs w:val="24"/>
              </w:rPr>
              <w:t>846.73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rFonts w:eastAsia="新細明體" w:hint="eastAsia"/>
                <w:color w:val="000000" w:themeColor="text1"/>
                <w:szCs w:val="24"/>
              </w:rPr>
              <w:t>517.07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75" w:rsidRPr="00307275" w:rsidRDefault="00307275" w:rsidP="00307275">
            <w:pPr>
              <w:pStyle w:val="Standard"/>
              <w:ind w:left="-48" w:right="32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rFonts w:eastAsia="新細明體" w:hint="eastAsia"/>
                <w:color w:val="000000" w:themeColor="text1"/>
                <w:szCs w:val="24"/>
              </w:rPr>
              <w:t>61.1</w:t>
            </w:r>
          </w:p>
        </w:tc>
      </w:tr>
    </w:tbl>
    <w:p w:rsidR="0072282D" w:rsidRPr="00122A88" w:rsidRDefault="003E306E" w:rsidP="00046485">
      <w:pPr>
        <w:pStyle w:val="Standard"/>
        <w:spacing w:before="120" w:after="120"/>
        <w:jc w:val="center"/>
        <w:outlineLvl w:val="0"/>
        <w:rPr>
          <w:noProof/>
          <w:color w:val="000000" w:themeColor="text1"/>
        </w:rPr>
      </w:pPr>
      <w:r w:rsidRPr="00122A88">
        <w:rPr>
          <w:noProof/>
          <w:color w:val="000000" w:themeColor="text1"/>
        </w:rPr>
        <w:lastRenderedPageBreak/>
        <w:drawing>
          <wp:inline distT="0" distB="0" distL="0" distR="0" wp14:anchorId="052DE1E1">
            <wp:extent cx="5898434" cy="3057525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62" cy="3076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485" w:rsidRPr="00122A88" w:rsidRDefault="00046485" w:rsidP="00046485">
      <w:pPr>
        <w:spacing w:beforeLines="50" w:before="120" w:line="500" w:lineRule="exact"/>
        <w:ind w:left="715" w:hanging="687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b/>
          <w:color w:val="000000" w:themeColor="text1"/>
          <w:spacing w:val="20"/>
          <w:sz w:val="30"/>
        </w:rPr>
        <w:t>貳、資產負債實況</w:t>
      </w:r>
      <w:r w:rsidR="007E62C1" w:rsidRPr="00122A88">
        <w:rPr>
          <w:rFonts w:ascii="標楷體" w:eastAsia="標楷體" w:hAnsi="標楷體" w:hint="eastAsia"/>
          <w:b/>
          <w:color w:val="000000" w:themeColor="text1"/>
          <w:spacing w:val="20"/>
          <w:sz w:val="30"/>
        </w:rPr>
        <w:t>（詳圖2）</w:t>
      </w:r>
    </w:p>
    <w:p w:rsidR="0072282D" w:rsidRPr="00122A88" w:rsidRDefault="00A92F5E" w:rsidP="00277479">
      <w:pPr>
        <w:spacing w:beforeLines="50" w:before="120" w:line="500" w:lineRule="exact"/>
        <w:ind w:left="715" w:hanging="318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一、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資產總額</w:t>
      </w:r>
      <w:r w:rsidR="00717CB3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3</w:t>
      </w:r>
      <w:r w:rsidR="00BE42C4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7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兆</w:t>
      </w:r>
      <w:r w:rsidR="003329D4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6</w:t>
      </w:r>
      <w:r w:rsidR="003329D4" w:rsidRPr="00122A88">
        <w:rPr>
          <w:rFonts w:ascii="標楷體" w:eastAsia="標楷體" w:hAnsi="標楷體"/>
          <w:color w:val="000000" w:themeColor="text1"/>
          <w:spacing w:val="20"/>
          <w:sz w:val="30"/>
        </w:rPr>
        <w:t>,</w:t>
      </w:r>
      <w:r w:rsidR="003329D4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916</w:t>
      </w:r>
      <w:r w:rsidR="007445A9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億餘元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，包括：</w:t>
      </w:r>
    </w:p>
    <w:p w:rsidR="0072282D" w:rsidRPr="00122A88" w:rsidRDefault="00A92F5E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（一）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流動資產</w:t>
      </w:r>
      <w:r w:rsidR="009D5F94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9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兆</w:t>
      </w:r>
      <w:r w:rsidR="007D6B5C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6</w:t>
      </w:r>
      <w:r w:rsidR="009D5F94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,</w:t>
      </w:r>
      <w:r w:rsidR="007D6B5C" w:rsidRPr="00122A88">
        <w:rPr>
          <w:rFonts w:ascii="標楷體" w:eastAsia="標楷體" w:hAnsi="標楷體"/>
          <w:color w:val="000000" w:themeColor="text1"/>
          <w:spacing w:val="20"/>
          <w:sz w:val="30"/>
        </w:rPr>
        <w:t>612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</w:t>
      </w:r>
      <w:r w:rsidR="00383150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元，占資產總額之</w:t>
      </w:r>
      <w:r w:rsidR="0092695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2</w:t>
      </w:r>
      <w:r w:rsidR="0092695A" w:rsidRPr="00122A88">
        <w:rPr>
          <w:rFonts w:ascii="標楷體" w:eastAsia="標楷體" w:hAnsi="標楷體"/>
          <w:color w:val="000000" w:themeColor="text1"/>
          <w:spacing w:val="20"/>
          <w:sz w:val="30"/>
        </w:rPr>
        <w:t>5</w:t>
      </w:r>
      <w:r w:rsidR="00CE7BC0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.6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％。</w:t>
      </w:r>
    </w:p>
    <w:p w:rsidR="0072282D" w:rsidRPr="00122A88" w:rsidRDefault="00A92F5E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color w:val="000000" w:themeColor="text1"/>
          <w:spacing w:val="15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5"/>
          <w:sz w:val="30"/>
        </w:rPr>
        <w:t>（二）</w:t>
      </w:r>
      <w:r w:rsidR="001414F7" w:rsidRPr="00122A88">
        <w:rPr>
          <w:rFonts w:ascii="標楷體" w:eastAsia="標楷體" w:hAnsi="標楷體" w:hint="eastAsia"/>
          <w:color w:val="000000" w:themeColor="text1"/>
          <w:spacing w:val="15"/>
          <w:sz w:val="2"/>
          <w:szCs w:val="2"/>
        </w:rPr>
        <w:t xml:space="preserve"> </w:t>
      </w:r>
      <w:r w:rsidR="00790A43" w:rsidRPr="00122A88">
        <w:rPr>
          <w:rFonts w:ascii="標楷體" w:eastAsia="標楷體" w:hAnsi="標楷體" w:hint="eastAsia"/>
          <w:color w:val="000000" w:themeColor="text1"/>
          <w:spacing w:val="10"/>
          <w:sz w:val="30"/>
        </w:rPr>
        <w:t>押</w:t>
      </w:r>
      <w:r w:rsidR="0072282D" w:rsidRPr="00122A88">
        <w:rPr>
          <w:rFonts w:ascii="標楷體" w:eastAsia="標楷體" w:hAnsi="標楷體" w:hint="eastAsia"/>
          <w:color w:val="000000" w:themeColor="text1"/>
          <w:spacing w:val="10"/>
          <w:sz w:val="30"/>
        </w:rPr>
        <w:t>匯貼現及放款</w:t>
      </w:r>
      <w:r w:rsidR="0092695A" w:rsidRPr="00122A88">
        <w:rPr>
          <w:rFonts w:ascii="標楷體" w:eastAsia="標楷體" w:hAnsi="標楷體"/>
          <w:color w:val="000000" w:themeColor="text1"/>
          <w:spacing w:val="10"/>
          <w:sz w:val="30"/>
        </w:rPr>
        <w:t>5</w:t>
      </w:r>
      <w:r w:rsidR="0072282D" w:rsidRPr="00122A88">
        <w:rPr>
          <w:rFonts w:ascii="標楷體" w:eastAsia="標楷體" w:hAnsi="標楷體" w:hint="eastAsia"/>
          <w:color w:val="000000" w:themeColor="text1"/>
          <w:spacing w:val="10"/>
          <w:sz w:val="30"/>
        </w:rPr>
        <w:t>兆</w:t>
      </w:r>
      <w:r w:rsidR="0092695A" w:rsidRPr="00122A88">
        <w:rPr>
          <w:rFonts w:ascii="標楷體" w:eastAsia="標楷體" w:hAnsi="標楷體"/>
          <w:color w:val="000000" w:themeColor="text1"/>
          <w:spacing w:val="10"/>
          <w:sz w:val="30"/>
        </w:rPr>
        <w:t>136</w:t>
      </w:r>
      <w:r w:rsidR="0072282D" w:rsidRPr="00122A88">
        <w:rPr>
          <w:rFonts w:ascii="標楷體" w:eastAsia="標楷體" w:hAnsi="標楷體" w:hint="eastAsia"/>
          <w:color w:val="000000" w:themeColor="text1"/>
          <w:spacing w:val="10"/>
          <w:sz w:val="30"/>
        </w:rPr>
        <w:t>億</w:t>
      </w:r>
      <w:r w:rsidR="00383150" w:rsidRPr="00122A88">
        <w:rPr>
          <w:rFonts w:ascii="標楷體" w:eastAsia="標楷體" w:hAnsi="標楷體" w:hint="eastAsia"/>
          <w:color w:val="000000" w:themeColor="text1"/>
          <w:spacing w:val="10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0"/>
          <w:sz w:val="30"/>
        </w:rPr>
        <w:t>元，占資產總額之</w:t>
      </w:r>
      <w:r w:rsidR="0092695A" w:rsidRPr="00122A88">
        <w:rPr>
          <w:rFonts w:ascii="標楷體" w:eastAsia="標楷體" w:hAnsi="標楷體" w:hint="eastAsia"/>
          <w:color w:val="000000" w:themeColor="text1"/>
          <w:spacing w:val="10"/>
          <w:sz w:val="30"/>
        </w:rPr>
        <w:t>1</w:t>
      </w:r>
      <w:r w:rsidR="0092695A" w:rsidRPr="00122A88">
        <w:rPr>
          <w:rFonts w:ascii="標楷體" w:eastAsia="標楷體" w:hAnsi="標楷體"/>
          <w:color w:val="000000" w:themeColor="text1"/>
          <w:spacing w:val="10"/>
          <w:sz w:val="30"/>
        </w:rPr>
        <w:t>3</w:t>
      </w:r>
      <w:r w:rsidR="005071D2" w:rsidRPr="00122A88">
        <w:rPr>
          <w:rFonts w:ascii="標楷體" w:eastAsia="標楷體" w:hAnsi="標楷體" w:hint="eastAsia"/>
          <w:color w:val="000000" w:themeColor="text1"/>
          <w:spacing w:val="10"/>
          <w:sz w:val="30"/>
        </w:rPr>
        <w:t>.3</w:t>
      </w:r>
      <w:r w:rsidR="0072282D" w:rsidRPr="00122A88">
        <w:rPr>
          <w:rFonts w:ascii="標楷體" w:eastAsia="標楷體" w:hAnsi="標楷體" w:hint="eastAsia"/>
          <w:color w:val="000000" w:themeColor="text1"/>
          <w:spacing w:val="10"/>
          <w:sz w:val="30"/>
        </w:rPr>
        <w:t>％。</w:t>
      </w:r>
    </w:p>
    <w:p w:rsidR="0072282D" w:rsidRPr="00122A88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（三）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基金</w:t>
      </w:r>
      <w:r w:rsidR="00790A43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、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投資及</w:t>
      </w:r>
      <w:r w:rsidR="00790A43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長期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應收款</w:t>
      </w:r>
      <w:r w:rsidR="00CE2EBE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1</w:t>
      </w:r>
      <w:r w:rsidR="00D17DAF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8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兆</w:t>
      </w:r>
      <w:r w:rsidR="0092695A" w:rsidRPr="00122A88">
        <w:rPr>
          <w:rFonts w:ascii="標楷體" w:eastAsia="標楷體" w:hAnsi="標楷體"/>
          <w:color w:val="000000" w:themeColor="text1"/>
          <w:spacing w:val="20"/>
          <w:sz w:val="30"/>
        </w:rPr>
        <w:t>3,618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</w:t>
      </w:r>
      <w:r w:rsidR="00383150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元，占資產總額之</w:t>
      </w:r>
      <w:r w:rsidR="00C86728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4</w:t>
      </w:r>
      <w:r w:rsidR="00D17DAF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8</w:t>
      </w:r>
      <w:r w:rsidR="0092695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.</w:t>
      </w:r>
      <w:r w:rsidR="0092695A" w:rsidRPr="00122A88">
        <w:rPr>
          <w:rFonts w:ascii="標楷體" w:eastAsia="標楷體" w:hAnsi="標楷體"/>
          <w:color w:val="000000" w:themeColor="text1"/>
          <w:spacing w:val="20"/>
          <w:sz w:val="30"/>
        </w:rPr>
        <w:t>7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％。</w:t>
      </w:r>
    </w:p>
    <w:p w:rsidR="00302255" w:rsidRPr="00122A88" w:rsidRDefault="00302255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（四）</w:t>
      </w:r>
      <w:r w:rsidRPr="007B7689">
        <w:rPr>
          <w:rFonts w:ascii="標楷體" w:eastAsia="標楷體" w:hAnsi="標楷體" w:hint="eastAsia"/>
          <w:color w:val="000000" w:themeColor="text1"/>
          <w:spacing w:val="12"/>
          <w:sz w:val="30"/>
        </w:rPr>
        <w:t>不動產、廠房及設備3兆</w:t>
      </w:r>
      <w:r w:rsidR="0092695A" w:rsidRPr="007B7689">
        <w:rPr>
          <w:rFonts w:ascii="標楷體" w:eastAsia="標楷體" w:hAnsi="標楷體"/>
          <w:color w:val="000000" w:themeColor="text1"/>
          <w:spacing w:val="12"/>
          <w:sz w:val="30"/>
        </w:rPr>
        <w:t>7</w:t>
      </w:r>
      <w:r w:rsidR="0092695A" w:rsidRPr="007B7689">
        <w:rPr>
          <w:rFonts w:ascii="標楷體" w:eastAsia="標楷體" w:hAnsi="標楷體" w:hint="eastAsia"/>
          <w:color w:val="000000" w:themeColor="text1"/>
          <w:spacing w:val="12"/>
          <w:sz w:val="30"/>
        </w:rPr>
        <w:t>,</w:t>
      </w:r>
      <w:r w:rsidR="0092695A" w:rsidRPr="007B7689">
        <w:rPr>
          <w:rFonts w:ascii="標楷體" w:eastAsia="標楷體" w:hAnsi="標楷體"/>
          <w:color w:val="000000" w:themeColor="text1"/>
          <w:spacing w:val="12"/>
          <w:sz w:val="30"/>
        </w:rPr>
        <w:t>612</w:t>
      </w:r>
      <w:r w:rsidRPr="007B7689">
        <w:rPr>
          <w:rFonts w:ascii="標楷體" w:eastAsia="標楷體" w:hAnsi="標楷體" w:hint="eastAsia"/>
          <w:color w:val="000000" w:themeColor="text1"/>
          <w:spacing w:val="12"/>
          <w:sz w:val="30"/>
        </w:rPr>
        <w:t>億餘元，占資產總額之</w:t>
      </w:r>
      <w:r w:rsidR="0092695A" w:rsidRPr="007B7689">
        <w:rPr>
          <w:rFonts w:ascii="標楷體" w:eastAsia="標楷體" w:hAnsi="標楷體"/>
          <w:color w:val="000000" w:themeColor="text1"/>
          <w:spacing w:val="12"/>
          <w:sz w:val="30"/>
        </w:rPr>
        <w:t>10</w:t>
      </w:r>
      <w:r w:rsidRPr="007B7689">
        <w:rPr>
          <w:rFonts w:ascii="標楷體" w:eastAsia="標楷體" w:hAnsi="標楷體" w:hint="eastAsia"/>
          <w:color w:val="000000" w:themeColor="text1"/>
          <w:spacing w:val="12"/>
          <w:sz w:val="30"/>
        </w:rPr>
        <w:t>％。</w:t>
      </w:r>
    </w:p>
    <w:p w:rsidR="00302255" w:rsidRPr="00122A88" w:rsidRDefault="00302255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（五）投資性不動產</w:t>
      </w:r>
      <w:r w:rsidR="0092695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4,</w:t>
      </w:r>
      <w:r w:rsidR="0092695A" w:rsidRPr="00122A88">
        <w:rPr>
          <w:rFonts w:ascii="標楷體" w:eastAsia="標楷體" w:hAnsi="標楷體"/>
          <w:color w:val="000000" w:themeColor="text1"/>
          <w:spacing w:val="20"/>
          <w:sz w:val="30"/>
        </w:rPr>
        <w:t>396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億餘元，占資產總額之1.2％。</w:t>
      </w:r>
    </w:p>
    <w:p w:rsidR="0072282D" w:rsidRPr="00122A88" w:rsidRDefault="00302255" w:rsidP="00277479">
      <w:pPr>
        <w:spacing w:line="500" w:lineRule="exact"/>
        <w:ind w:leftChars="204" w:left="1483" w:hangingChars="292" w:hanging="993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（六</w:t>
      </w:r>
      <w:r w:rsidR="00A92F5E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）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無形資產、生物資產及其他資產合共</w:t>
      </w:r>
      <w:r w:rsidR="00D17DAF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4</w:t>
      </w:r>
      <w:r w:rsidR="00D17DAF" w:rsidRPr="00122A88">
        <w:rPr>
          <w:rFonts w:ascii="標楷體" w:eastAsia="標楷體" w:hAnsi="標楷體"/>
          <w:color w:val="000000" w:themeColor="text1"/>
          <w:spacing w:val="20"/>
          <w:sz w:val="30"/>
        </w:rPr>
        <w:t>,</w:t>
      </w:r>
      <w:r w:rsidR="0092695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5</w:t>
      </w:r>
      <w:r w:rsidR="0092695A" w:rsidRPr="00122A88">
        <w:rPr>
          <w:rFonts w:ascii="標楷體" w:eastAsia="標楷體" w:hAnsi="標楷體"/>
          <w:color w:val="000000" w:themeColor="text1"/>
          <w:spacing w:val="20"/>
          <w:sz w:val="30"/>
        </w:rPr>
        <w:t>40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億餘元，占資產總額之</w:t>
      </w:r>
      <w:r w:rsidR="00D17DAF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1.2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％。</w:t>
      </w:r>
    </w:p>
    <w:p w:rsidR="0072282D" w:rsidRPr="00122A88" w:rsidRDefault="00A92F5E" w:rsidP="00277479">
      <w:pPr>
        <w:spacing w:beforeLines="50" w:before="120" w:line="500" w:lineRule="exact"/>
        <w:ind w:left="800" w:hanging="318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二、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負債總額</w:t>
      </w:r>
      <w:r w:rsidR="0037197F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33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兆</w:t>
      </w:r>
      <w:r w:rsidR="00E70D7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8,820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</w:t>
      </w:r>
      <w:r w:rsidR="00814428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元，包括：</w:t>
      </w:r>
    </w:p>
    <w:p w:rsidR="0072282D" w:rsidRPr="00122A88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（一）</w:t>
      </w:r>
      <w:r w:rsidR="0072282D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流動負債</w:t>
      </w:r>
      <w:r w:rsidR="001D61D8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1</w:t>
      </w:r>
      <w:r w:rsidR="0037197F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6</w:t>
      </w:r>
      <w:r w:rsidR="0072282D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兆</w:t>
      </w:r>
      <w:r w:rsidR="00E70D7A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2</w:t>
      </w:r>
      <w:r w:rsidR="00591893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,</w:t>
      </w:r>
      <w:r w:rsidR="00E70D7A" w:rsidRPr="00122A88">
        <w:rPr>
          <w:rFonts w:ascii="標楷體" w:eastAsia="標楷體" w:hAnsi="標楷體"/>
          <w:color w:val="000000" w:themeColor="text1"/>
          <w:spacing w:val="8"/>
          <w:sz w:val="30"/>
        </w:rPr>
        <w:t>656</w:t>
      </w:r>
      <w:r w:rsidR="0072282D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億</w:t>
      </w:r>
      <w:r w:rsidR="00814428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元，占負債及權益總額之</w:t>
      </w:r>
      <w:r w:rsidR="001D61D8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4</w:t>
      </w:r>
      <w:r w:rsidR="00E70D7A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3.1</w:t>
      </w:r>
      <w:r w:rsidR="0072282D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％。</w:t>
      </w:r>
    </w:p>
    <w:p w:rsidR="0072282D" w:rsidRPr="00122A88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（二）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存款、匯款及金融債券</w:t>
      </w:r>
      <w:r w:rsidR="00776A37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13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兆</w:t>
      </w:r>
      <w:r w:rsidR="00E70D7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2</w:t>
      </w:r>
      <w:r w:rsidR="00D86DA9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,</w:t>
      </w:r>
      <w:r w:rsidR="00E70D7A" w:rsidRPr="00122A88">
        <w:rPr>
          <w:rFonts w:ascii="標楷體" w:eastAsia="標楷體" w:hAnsi="標楷體"/>
          <w:color w:val="000000" w:themeColor="text1"/>
          <w:spacing w:val="20"/>
          <w:sz w:val="30"/>
        </w:rPr>
        <w:t>897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</w:t>
      </w:r>
      <w:r w:rsidR="00814428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元，占負債及</w:t>
      </w:r>
      <w:r w:rsidR="00485D2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權益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總額之</w:t>
      </w:r>
      <w:r w:rsidR="00E8096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35</w:t>
      </w:r>
      <w:r w:rsidR="00E70D7A" w:rsidRPr="00122A88">
        <w:rPr>
          <w:rFonts w:ascii="標楷體" w:eastAsia="標楷體" w:hAnsi="標楷體"/>
          <w:color w:val="000000" w:themeColor="text1"/>
          <w:spacing w:val="20"/>
          <w:sz w:val="30"/>
        </w:rPr>
        <w:t>.3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％。</w:t>
      </w:r>
    </w:p>
    <w:p w:rsidR="0072282D" w:rsidRPr="00122A88" w:rsidRDefault="00A92F5E" w:rsidP="00277479">
      <w:pPr>
        <w:spacing w:line="500" w:lineRule="exact"/>
        <w:ind w:leftChars="199" w:left="1498" w:hangingChars="300" w:hanging="102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（三）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央行及同業融資</w:t>
      </w:r>
      <w:r w:rsidR="008E49C2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與長期負債</w:t>
      </w:r>
      <w:r w:rsidR="00422C05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合共</w:t>
      </w:r>
      <w:r w:rsidR="00E70D7A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1兆233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億</w:t>
      </w:r>
      <w:r w:rsidR="00814428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元，占負債及</w:t>
      </w:r>
      <w:r w:rsidR="00485D22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權益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總額之</w:t>
      </w:r>
      <w:r w:rsidR="00E70D7A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2.7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％。</w:t>
      </w:r>
    </w:p>
    <w:p w:rsidR="0072282D" w:rsidRPr="00122A88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</w:t>
      </w:r>
      <w:r w:rsidR="008E49C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四</w:t>
      </w: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）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其他負債</w:t>
      </w:r>
      <w:r w:rsidR="00412081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3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兆</w:t>
      </w:r>
      <w:r w:rsidR="00412081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3</w:t>
      </w:r>
      <w:r w:rsidR="0019532C" w:rsidRPr="00122A88">
        <w:rPr>
          <w:rFonts w:ascii="標楷體" w:eastAsia="標楷體" w:hAnsi="標楷體"/>
          <w:color w:val="000000" w:themeColor="text1"/>
          <w:spacing w:val="14"/>
          <w:sz w:val="30"/>
        </w:rPr>
        <w:t>,</w:t>
      </w:r>
      <w:r w:rsidR="00412081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032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億</w:t>
      </w:r>
      <w:r w:rsidR="00814428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元，占負債及</w:t>
      </w:r>
      <w:r w:rsidR="00485D22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權益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總額之</w:t>
      </w:r>
      <w:r w:rsidR="00412081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8.8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％。</w:t>
      </w:r>
    </w:p>
    <w:p w:rsidR="0072282D" w:rsidRPr="00122A88" w:rsidRDefault="00A92F5E" w:rsidP="00990EC7">
      <w:pPr>
        <w:spacing w:beforeLines="50" w:before="120" w:line="480" w:lineRule="exact"/>
        <w:ind w:left="715" w:hanging="318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三、</w:t>
      </w:r>
      <w:r w:rsidR="00485D2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權益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總額</w:t>
      </w:r>
      <w:r w:rsidR="001D61D8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3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兆</w:t>
      </w:r>
      <w:r w:rsidR="00F8003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8</w:t>
      </w:r>
      <w:r w:rsidR="00E8096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,</w:t>
      </w:r>
      <w:r w:rsidR="00F80032" w:rsidRPr="00122A88">
        <w:rPr>
          <w:rFonts w:ascii="標楷體" w:eastAsia="標楷體" w:hAnsi="標楷體"/>
          <w:color w:val="000000" w:themeColor="text1"/>
          <w:spacing w:val="20"/>
          <w:sz w:val="30"/>
        </w:rPr>
        <w:t>096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</w:t>
      </w:r>
      <w:r w:rsidR="00814428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元，包括：</w:t>
      </w:r>
    </w:p>
    <w:p w:rsidR="0072282D" w:rsidRPr="00122A88" w:rsidRDefault="00A92F5E" w:rsidP="00990EC7">
      <w:pPr>
        <w:spacing w:line="480" w:lineRule="exact"/>
        <w:ind w:leftChars="200" w:left="1438" w:hangingChars="292" w:hanging="958"/>
        <w:jc w:val="both"/>
        <w:outlineLvl w:val="0"/>
        <w:rPr>
          <w:rFonts w:ascii="標楷體" w:eastAsia="標楷體" w:hAnsi="標楷體"/>
          <w:color w:val="000000" w:themeColor="text1"/>
          <w:spacing w:val="14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lastRenderedPageBreak/>
        <w:t>（一）</w:t>
      </w:r>
      <w:r w:rsidR="00680174" w:rsidRPr="00122A88">
        <w:rPr>
          <w:rFonts w:ascii="標楷體" w:eastAsia="標楷體" w:hAnsi="標楷體" w:hint="eastAsia"/>
          <w:color w:val="000000" w:themeColor="text1"/>
          <w:spacing w:val="14"/>
          <w:sz w:val="2"/>
          <w:szCs w:val="2"/>
        </w:rPr>
        <w:t xml:space="preserve"> 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資本1兆</w:t>
      </w:r>
      <w:r w:rsidR="008659E6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3</w:t>
      </w:r>
      <w:r w:rsidR="00E80962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,</w:t>
      </w:r>
      <w:r w:rsidR="00F80032" w:rsidRPr="00122A88">
        <w:rPr>
          <w:rFonts w:ascii="標楷體" w:eastAsia="標楷體" w:hAnsi="標楷體"/>
          <w:color w:val="000000" w:themeColor="text1"/>
          <w:spacing w:val="14"/>
          <w:sz w:val="30"/>
        </w:rPr>
        <w:t>376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億</w:t>
      </w:r>
      <w:r w:rsidR="00814428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元，占負債及</w:t>
      </w:r>
      <w:r w:rsidR="00485D22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權益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總額之</w:t>
      </w:r>
      <w:r w:rsidR="00F80032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3.5</w:t>
      </w:r>
      <w:r w:rsidR="0072282D" w:rsidRPr="00122A88">
        <w:rPr>
          <w:rFonts w:ascii="標楷體" w:eastAsia="標楷體" w:hAnsi="標楷體" w:hint="eastAsia"/>
          <w:color w:val="000000" w:themeColor="text1"/>
          <w:spacing w:val="14"/>
          <w:sz w:val="30"/>
        </w:rPr>
        <w:t>％。</w:t>
      </w:r>
    </w:p>
    <w:p w:rsidR="0072282D" w:rsidRPr="00122A88" w:rsidRDefault="00A92F5E" w:rsidP="00990EC7">
      <w:pPr>
        <w:spacing w:line="48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（二）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資本公積</w:t>
      </w:r>
      <w:r w:rsidR="00E852BC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2</w:t>
      </w:r>
      <w:r w:rsidR="0072282D" w:rsidRPr="00122A88">
        <w:rPr>
          <w:rFonts w:ascii="標楷體" w:eastAsia="標楷體" w:hAnsi="標楷體"/>
          <w:color w:val="000000" w:themeColor="text1"/>
          <w:spacing w:val="20"/>
          <w:sz w:val="30"/>
        </w:rPr>
        <w:t>,</w:t>
      </w:r>
      <w:r w:rsidR="00F8003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210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</w:t>
      </w:r>
      <w:r w:rsidR="00814428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元，占負債及</w:t>
      </w:r>
      <w:r w:rsidR="00485D2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權益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總額之</w:t>
      </w:r>
      <w:r w:rsidR="001D61D8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0.</w:t>
      </w:r>
      <w:r w:rsidR="00E8096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6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％。</w:t>
      </w:r>
    </w:p>
    <w:p w:rsidR="0072282D" w:rsidRPr="00122A88" w:rsidRDefault="00A92F5E" w:rsidP="00990EC7">
      <w:pPr>
        <w:spacing w:line="48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 w:themeColor="text1"/>
          <w:spacing w:val="20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（三）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保留盈餘</w:t>
      </w:r>
      <w:r w:rsidR="00F8003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1兆1</w:t>
      </w:r>
      <w:r w:rsidR="00D86DA9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,</w:t>
      </w:r>
      <w:r w:rsidR="00F80032" w:rsidRPr="00122A88">
        <w:rPr>
          <w:rFonts w:ascii="標楷體" w:eastAsia="標楷體" w:hAnsi="標楷體"/>
          <w:color w:val="000000" w:themeColor="text1"/>
          <w:spacing w:val="20"/>
          <w:sz w:val="30"/>
        </w:rPr>
        <w:t>229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億</w:t>
      </w:r>
      <w:r w:rsidR="00814428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元，占負債及</w:t>
      </w:r>
      <w:r w:rsidR="00485D2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權益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總額之</w:t>
      </w:r>
      <w:r w:rsidR="00F80032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3</w:t>
      </w:r>
      <w:r w:rsidR="0072282D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％。</w:t>
      </w:r>
    </w:p>
    <w:p w:rsidR="0072282D" w:rsidRPr="00122A88" w:rsidRDefault="00A92F5E" w:rsidP="00990EC7">
      <w:pPr>
        <w:spacing w:line="48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color w:val="000000" w:themeColor="text1"/>
          <w:spacing w:val="8"/>
          <w:sz w:val="30"/>
        </w:rPr>
      </w:pPr>
      <w:r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（四）</w:t>
      </w:r>
      <w:r w:rsidR="00485D22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累積其他綜合損益</w:t>
      </w:r>
      <w:r w:rsidR="00556F7C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及非控制權益</w:t>
      </w:r>
      <w:r w:rsidR="00E25A48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合共</w:t>
      </w:r>
      <w:r w:rsidR="00A362C5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1</w:t>
      </w:r>
      <w:r w:rsidR="00A362C5" w:rsidRPr="00122A88">
        <w:rPr>
          <w:rFonts w:ascii="標楷體" w:eastAsia="標楷體" w:hAnsi="標楷體"/>
          <w:color w:val="000000" w:themeColor="text1"/>
          <w:spacing w:val="8"/>
          <w:sz w:val="30"/>
        </w:rPr>
        <w:t>,</w:t>
      </w:r>
      <w:r w:rsidR="00F80032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496</w:t>
      </w:r>
      <w:r w:rsidR="0072282D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億</w:t>
      </w:r>
      <w:r w:rsidR="00814428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餘</w:t>
      </w:r>
      <w:r w:rsidR="0072282D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元，占負債及</w:t>
      </w:r>
      <w:r w:rsidR="00485D22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權益</w:t>
      </w:r>
      <w:r w:rsidR="0072282D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總額之</w:t>
      </w:r>
      <w:r w:rsidR="00F80032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0.4</w:t>
      </w:r>
      <w:r w:rsidR="0072282D" w:rsidRPr="00122A88">
        <w:rPr>
          <w:rFonts w:ascii="標楷體" w:eastAsia="標楷體" w:hAnsi="標楷體" w:hint="eastAsia"/>
          <w:color w:val="000000" w:themeColor="text1"/>
          <w:spacing w:val="8"/>
          <w:sz w:val="30"/>
        </w:rPr>
        <w:t>％。</w:t>
      </w:r>
    </w:p>
    <w:p w:rsidR="00E730D6" w:rsidRPr="00122A88" w:rsidRDefault="00990EC7" w:rsidP="00990EC7">
      <w:pPr>
        <w:spacing w:line="480" w:lineRule="exact"/>
        <w:ind w:leftChars="200" w:left="1469" w:hangingChars="412" w:hanging="989"/>
        <w:jc w:val="both"/>
        <w:outlineLvl w:val="0"/>
        <w:rPr>
          <w:rFonts w:ascii="標楷體" w:eastAsia="標楷體" w:hAnsi="標楷體"/>
          <w:color w:val="000000" w:themeColor="text1"/>
          <w:spacing w:val="16"/>
          <w:sz w:val="30"/>
        </w:rPr>
      </w:pPr>
      <w:r w:rsidRPr="00122A8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1370965</wp:posOffset>
                </wp:positionH>
                <wp:positionV relativeFrom="paragraph">
                  <wp:posOffset>7115810</wp:posOffset>
                </wp:positionV>
                <wp:extent cx="4051935" cy="339090"/>
                <wp:effectExtent l="0" t="0" r="5715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19A" w:rsidRPr="0092719A" w:rsidRDefault="0092719A" w:rsidP="0092719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2719A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圖2</w:t>
                            </w:r>
                            <w:r w:rsidR="00235831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92719A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國營事業資產、負債及業主權益之組成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7.95pt;margin-top:560.3pt;width:319.05pt;height:26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" stroked="f">
                <v:textbox style="mso-fit-shape-to-text:t">
                  <w:txbxContent>
                    <w:p w:rsidR="0092719A" w:rsidRPr="0092719A" w:rsidRDefault="0092719A" w:rsidP="0092719A">
                      <w:pPr>
                        <w:jc w:val="center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2719A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圖2</w:t>
                      </w:r>
                      <w:r w:rsidR="00235831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 xml:space="preserve">  </w:t>
                      </w:r>
                      <w:r w:rsidRPr="0092719A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國營事業資產、負債及業主權益之組成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EC7">
        <w:rPr>
          <w:rFonts w:ascii="標楷體" w:eastAsia="標楷體" w:hAnsi="標楷體"/>
          <w:noProof/>
          <w:color w:val="000000" w:themeColor="text1"/>
          <w:spacing w:val="20"/>
          <w:sz w:val="3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posOffset>1066165</wp:posOffset>
                </wp:positionH>
                <wp:positionV relativeFrom="paragraph">
                  <wp:posOffset>3712845</wp:posOffset>
                </wp:positionV>
                <wp:extent cx="4629150" cy="346710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C7" w:rsidRDefault="00990EC7" w:rsidP="00990EC7">
                            <w:r w:rsidRPr="00235831">
                              <w:rPr>
                                <w:noProof/>
                              </w:rPr>
                              <w:drawing>
                                <wp:inline distT="0" distB="0" distL="0" distR="0" wp14:anchorId="7CBB9340" wp14:editId="430CEC78">
                                  <wp:extent cx="4457700" cy="3438525"/>
                                  <wp:effectExtent l="0" t="0" r="0" b="0"/>
                                  <wp:docPr id="4" name="圖表 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95pt;margin-top:292.35pt;width:364.5pt;height:27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" stroked="f">
                <v:textbox>
                  <w:txbxContent>
                    <w:p w:rsidR="00990EC7" w:rsidRDefault="00990EC7" w:rsidP="00990EC7">
                      <w:r w:rsidRPr="00235831">
                        <w:rPr>
                          <w:noProof/>
                        </w:rPr>
                        <w:drawing>
                          <wp:inline distT="0" distB="0" distL="0" distR="0" wp14:anchorId="7CBB9340" wp14:editId="430CEC78">
                            <wp:extent cx="4457700" cy="3438525"/>
                            <wp:effectExtent l="0" t="0" r="0" b="0"/>
                            <wp:docPr id="4" name="圖表 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2A88">
        <w:rPr>
          <w:rFonts w:ascii="標楷體" w:eastAsia="標楷體" w:hAnsi="標楷體"/>
          <w:noProof/>
          <w:color w:val="000000" w:themeColor="text1"/>
          <w:spacing w:val="16"/>
          <w:sz w:val="3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664845</wp:posOffset>
                </wp:positionV>
                <wp:extent cx="6248400" cy="37242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80" w:rsidRDefault="00215380" w:rsidP="004C5D2B">
                            <w:pPr>
                              <w:jc w:val="center"/>
                            </w:pPr>
                            <w:r w:rsidRPr="00215380">
                              <w:rPr>
                                <w:noProof/>
                              </w:rPr>
                              <w:drawing>
                                <wp:inline distT="0" distB="0" distL="0" distR="0" wp14:anchorId="0BB703CC" wp14:editId="73F32D4C">
                                  <wp:extent cx="5076825" cy="3324225"/>
                                  <wp:effectExtent l="0" t="0" r="0" b="0"/>
                                  <wp:docPr id="5" name="圖表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05pt;margin-top:52.35pt;width:492pt;height:293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" stroked="f">
                <v:textbox>
                  <w:txbxContent>
                    <w:p w:rsidR="00215380" w:rsidRDefault="00215380" w:rsidP="004C5D2B">
                      <w:pPr>
                        <w:jc w:val="center"/>
                      </w:pPr>
                      <w:r w:rsidRPr="00215380">
                        <w:rPr>
                          <w:noProof/>
                        </w:rPr>
                        <w:drawing>
                          <wp:inline distT="0" distB="0" distL="0" distR="0" wp14:anchorId="0BB703CC" wp14:editId="73F32D4C">
                            <wp:extent cx="5076825" cy="3324225"/>
                            <wp:effectExtent l="0" t="0" r="0" b="0"/>
                            <wp:docPr id="5" name="圖表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A9A" w:rsidRPr="00122A88">
        <w:rPr>
          <w:rFonts w:ascii="標楷體" w:eastAsia="標楷體" w:hAnsi="標楷體" w:hint="eastAsia"/>
          <w:color w:val="000000" w:themeColor="text1"/>
          <w:spacing w:val="20"/>
          <w:sz w:val="30"/>
        </w:rPr>
        <w:t>（五）</w:t>
      </w:r>
      <w:r w:rsidR="002D7A9A" w:rsidRPr="00122A88">
        <w:rPr>
          <w:rFonts w:ascii="標楷體" w:eastAsia="標楷體" w:hAnsi="標楷體" w:hint="eastAsia"/>
          <w:color w:val="000000" w:themeColor="text1"/>
          <w:spacing w:val="16"/>
          <w:sz w:val="30"/>
        </w:rPr>
        <w:t>首次採用國際財務報導準則調整數9,783億餘元，占負債及權益總額之2.6％。</w:t>
      </w:r>
    </w:p>
    <w:p w:rsidR="00E730D6" w:rsidRPr="00122A88" w:rsidRDefault="00235831" w:rsidP="00E730D6">
      <w:pPr>
        <w:spacing w:line="500" w:lineRule="exact"/>
        <w:ind w:leftChars="200" w:left="1716" w:hangingChars="412" w:hanging="1236"/>
        <w:jc w:val="both"/>
        <w:outlineLvl w:val="0"/>
        <w:rPr>
          <w:rFonts w:ascii="標楷體" w:eastAsia="標楷體" w:hAnsi="標楷體"/>
          <w:color w:val="000000" w:themeColor="text1"/>
          <w:spacing w:val="16"/>
          <w:sz w:val="30"/>
        </w:rPr>
      </w:pPr>
      <w:r w:rsidRPr="00122A88">
        <w:rPr>
          <w:rFonts w:ascii="標楷體" w:eastAsia="標楷體" w:hAnsi="標楷體"/>
          <w:noProof/>
          <w:color w:val="000000" w:themeColor="text1"/>
          <w:spacing w:val="16"/>
          <w:sz w:val="30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4154170</wp:posOffset>
                </wp:positionV>
                <wp:extent cx="5534025" cy="3971925"/>
                <wp:effectExtent l="0" t="0" r="9525" b="952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831" w:rsidRDefault="00235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.7pt;margin-top:327.1pt;width:435.75pt;height:312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" stroked="f">
                <v:textbox>
                  <w:txbxContent>
                    <w:p w:rsidR="00235831" w:rsidRDefault="00235831"/>
                  </w:txbxContent>
                </v:textbox>
                <w10:wrap type="square"/>
              </v:shape>
            </w:pict>
          </mc:Fallback>
        </mc:AlternateContent>
      </w:r>
      <w:r w:rsidRPr="00122A88">
        <w:rPr>
          <w:noProof/>
          <w:color w:val="000000" w:themeColor="text1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972820</wp:posOffset>
            </wp:positionH>
            <wp:positionV relativeFrom="paragraph">
              <wp:posOffset>4084955</wp:posOffset>
            </wp:positionV>
            <wp:extent cx="5001260" cy="4070985"/>
            <wp:effectExtent l="0" t="0" r="0" b="0"/>
            <wp:wrapSquare wrapText="bothSides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0D6" w:rsidRPr="00122A88" w:rsidSect="00A86C83">
      <w:headerReference w:type="even" r:id="rId14"/>
      <w:headerReference w:type="default" r:id="rId15"/>
      <w:footerReference w:type="default" r:id="rId16"/>
      <w:pgSz w:w="11906" w:h="16838" w:code="9"/>
      <w:pgMar w:top="1021" w:right="849" w:bottom="1021" w:left="1021" w:header="851" w:footer="992" w:gutter="0"/>
      <w:pgNumType w:start="1"/>
      <w:cols w:space="425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69" w:rsidRDefault="00560869">
      <w:r>
        <w:separator/>
      </w:r>
    </w:p>
  </w:endnote>
  <w:endnote w:type="continuationSeparator" w:id="0">
    <w:p w:rsidR="00560869" w:rsidRDefault="0056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, 新細明體">
    <w:altName w:val="Pristina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69" w:rsidRDefault="00560869">
      <w:r>
        <w:separator/>
      </w:r>
    </w:p>
  </w:footnote>
  <w:footnote w:type="continuationSeparator" w:id="0">
    <w:p w:rsidR="00560869" w:rsidRDefault="0056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4"/>
      <w:rPr>
        <w:sz w:val="28"/>
      </w:rPr>
    </w:pPr>
    <w:r>
      <w:rPr>
        <w:rStyle w:val="a6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51"/>
    <w:multiLevelType w:val="singleLevel"/>
    <w:tmpl w:val="D034DD10"/>
    <w:lvl w:ilvl="0">
      <w:start w:val="6"/>
      <w:numFmt w:val="decimal"/>
      <w:lvlText w:val="(%1)"/>
      <w:legacy w:legacy="1" w:legacySpace="0" w:legacyIndent="360"/>
      <w:lvlJc w:val="left"/>
      <w:pPr>
        <w:ind w:left="1563" w:hanging="360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" w15:restartNumberingAfterBreak="0">
    <w:nsid w:val="04160000"/>
    <w:multiLevelType w:val="hybridMultilevel"/>
    <w:tmpl w:val="73340B04"/>
    <w:lvl w:ilvl="0" w:tplc="428AF59E">
      <w:start w:val="1"/>
      <w:numFmt w:val="ideographLegalTradition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9314830"/>
    <w:multiLevelType w:val="multilevel"/>
    <w:tmpl w:val="982C4A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AB0340"/>
    <w:multiLevelType w:val="singleLevel"/>
    <w:tmpl w:val="D638C8C8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ascii="標楷體" w:hint="eastAsia"/>
      </w:rPr>
    </w:lvl>
  </w:abstractNum>
  <w:abstractNum w:abstractNumId="4" w15:restartNumberingAfterBreak="0">
    <w:nsid w:val="14D017B5"/>
    <w:multiLevelType w:val="hybridMultilevel"/>
    <w:tmpl w:val="982C4AB2"/>
    <w:lvl w:ilvl="0" w:tplc="E62CDE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C8275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828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7C2AC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0E77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9E44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EBA7B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70DB8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38D0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6A0DE1"/>
    <w:multiLevelType w:val="singleLevel"/>
    <w:tmpl w:val="30F449D8"/>
    <w:lvl w:ilvl="0">
      <w:start w:val="1"/>
      <w:numFmt w:val="decimal"/>
      <w:lvlText w:val="%1."/>
      <w:lvlJc w:val="left"/>
      <w:pPr>
        <w:tabs>
          <w:tab w:val="num" w:pos="1169"/>
        </w:tabs>
        <w:ind w:left="1169" w:hanging="330"/>
      </w:pPr>
      <w:rPr>
        <w:rFonts w:ascii="華康楷書體W5" w:hint="eastAsia"/>
      </w:rPr>
    </w:lvl>
  </w:abstractNum>
  <w:abstractNum w:abstractNumId="6" w15:restartNumberingAfterBreak="0">
    <w:nsid w:val="179B5017"/>
    <w:multiLevelType w:val="singleLevel"/>
    <w:tmpl w:val="0A12A0F8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7" w15:restartNumberingAfterBreak="0">
    <w:nsid w:val="1A707427"/>
    <w:multiLevelType w:val="multilevel"/>
    <w:tmpl w:val="982C4A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F1AAF"/>
    <w:multiLevelType w:val="singleLevel"/>
    <w:tmpl w:val="641E4088"/>
    <w:lvl w:ilvl="0">
      <w:start w:val="4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9" w15:restartNumberingAfterBreak="0">
    <w:nsid w:val="1C244873"/>
    <w:multiLevelType w:val="singleLevel"/>
    <w:tmpl w:val="6CF8FD72"/>
    <w:lvl w:ilvl="0">
      <w:start w:val="1"/>
      <w:numFmt w:val="decimal"/>
      <w:lvlText w:val="(%1)"/>
      <w:lvlJc w:val="left"/>
      <w:pPr>
        <w:tabs>
          <w:tab w:val="num" w:pos="1773"/>
        </w:tabs>
        <w:ind w:left="1773" w:hanging="495"/>
      </w:pPr>
      <w:rPr>
        <w:rFonts w:hint="eastAsia"/>
      </w:rPr>
    </w:lvl>
  </w:abstractNum>
  <w:abstractNum w:abstractNumId="10" w15:restartNumberingAfterBreak="0">
    <w:nsid w:val="1D0E493D"/>
    <w:multiLevelType w:val="singleLevel"/>
    <w:tmpl w:val="DAEAD8E4"/>
    <w:lvl w:ilvl="0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1020"/>
      </w:pPr>
      <w:rPr>
        <w:rFonts w:hint="eastAsia"/>
      </w:rPr>
    </w:lvl>
  </w:abstractNum>
  <w:abstractNum w:abstractNumId="11" w15:restartNumberingAfterBreak="0">
    <w:nsid w:val="29293690"/>
    <w:multiLevelType w:val="singleLevel"/>
    <w:tmpl w:val="E3CA80D0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930"/>
      </w:pPr>
      <w:rPr>
        <w:rFonts w:hint="eastAsia"/>
        <w:sz w:val="28"/>
      </w:rPr>
    </w:lvl>
  </w:abstractNum>
  <w:abstractNum w:abstractNumId="12" w15:restartNumberingAfterBreak="0">
    <w:nsid w:val="2A400D71"/>
    <w:multiLevelType w:val="singleLevel"/>
    <w:tmpl w:val="C34CBC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13" w15:restartNumberingAfterBreak="0">
    <w:nsid w:val="364C3695"/>
    <w:multiLevelType w:val="singleLevel"/>
    <w:tmpl w:val="6DD85FCE"/>
    <w:lvl w:ilvl="0">
      <w:start w:val="4"/>
      <w:numFmt w:val="decimal"/>
      <w:lvlText w:val="%1."/>
      <w:legacy w:legacy="1" w:legacySpace="0" w:legacyIndent="255"/>
      <w:lvlJc w:val="left"/>
      <w:pPr>
        <w:ind w:left="1094" w:hanging="25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4" w15:restartNumberingAfterBreak="0">
    <w:nsid w:val="366C0098"/>
    <w:multiLevelType w:val="singleLevel"/>
    <w:tmpl w:val="F1A87E5C"/>
    <w:lvl w:ilvl="0">
      <w:start w:val="1"/>
      <w:numFmt w:val="taiwaneseCountingThousand"/>
      <w:lvlText w:val="%1、"/>
      <w:lvlJc w:val="left"/>
      <w:pPr>
        <w:tabs>
          <w:tab w:val="num" w:pos="1284"/>
        </w:tabs>
        <w:ind w:left="1284" w:hanging="804"/>
      </w:pPr>
      <w:rPr>
        <w:rFonts w:hint="eastAsia"/>
      </w:rPr>
    </w:lvl>
  </w:abstractNum>
  <w:abstractNum w:abstractNumId="15" w15:restartNumberingAfterBreak="0">
    <w:nsid w:val="36907AE7"/>
    <w:multiLevelType w:val="singleLevel"/>
    <w:tmpl w:val="99248718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945"/>
      </w:pPr>
      <w:rPr>
        <w:rFonts w:hint="eastAsia"/>
      </w:rPr>
    </w:lvl>
  </w:abstractNum>
  <w:abstractNum w:abstractNumId="16" w15:restartNumberingAfterBreak="0">
    <w:nsid w:val="38BD59C3"/>
    <w:multiLevelType w:val="singleLevel"/>
    <w:tmpl w:val="BF8ACC50"/>
    <w:lvl w:ilvl="0">
      <w:start w:val="1"/>
      <w:numFmt w:val="decimal"/>
      <w:lvlText w:val="(%1)"/>
      <w:lvlJc w:val="left"/>
      <w:pPr>
        <w:tabs>
          <w:tab w:val="num" w:pos="1524"/>
        </w:tabs>
        <w:ind w:left="1524" w:hanging="390"/>
      </w:pPr>
      <w:rPr>
        <w:rFonts w:hint="default"/>
      </w:rPr>
    </w:lvl>
  </w:abstractNum>
  <w:abstractNum w:abstractNumId="17" w15:restartNumberingAfterBreak="0">
    <w:nsid w:val="3B4636DA"/>
    <w:multiLevelType w:val="singleLevel"/>
    <w:tmpl w:val="1706B6A6"/>
    <w:lvl w:ilvl="0">
      <w:start w:val="7"/>
      <w:numFmt w:val="decimal"/>
      <w:lvlText w:val="(%1)"/>
      <w:legacy w:legacy="1" w:legacySpace="0" w:legacyIndent="405"/>
      <w:lvlJc w:val="left"/>
      <w:pPr>
        <w:ind w:left="1488" w:hanging="40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8" w15:restartNumberingAfterBreak="0">
    <w:nsid w:val="44FA5FD3"/>
    <w:multiLevelType w:val="singleLevel"/>
    <w:tmpl w:val="FC3AF24A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eastAsia"/>
      </w:rPr>
    </w:lvl>
  </w:abstractNum>
  <w:abstractNum w:abstractNumId="19" w15:restartNumberingAfterBreak="0">
    <w:nsid w:val="452C7697"/>
    <w:multiLevelType w:val="singleLevel"/>
    <w:tmpl w:val="FC3AF24A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eastAsia"/>
      </w:rPr>
    </w:lvl>
  </w:abstractNum>
  <w:abstractNum w:abstractNumId="20" w15:restartNumberingAfterBreak="0">
    <w:nsid w:val="50F64333"/>
    <w:multiLevelType w:val="singleLevel"/>
    <w:tmpl w:val="641E4088"/>
    <w:lvl w:ilvl="0">
      <w:start w:val="4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1" w15:restartNumberingAfterBreak="0">
    <w:nsid w:val="52D328F6"/>
    <w:multiLevelType w:val="singleLevel"/>
    <w:tmpl w:val="389AEA28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default"/>
      </w:rPr>
    </w:lvl>
  </w:abstractNum>
  <w:abstractNum w:abstractNumId="22" w15:restartNumberingAfterBreak="0">
    <w:nsid w:val="5B063C11"/>
    <w:multiLevelType w:val="singleLevel"/>
    <w:tmpl w:val="E412069E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23" w15:restartNumberingAfterBreak="0">
    <w:nsid w:val="5BD37194"/>
    <w:multiLevelType w:val="singleLevel"/>
    <w:tmpl w:val="1D021ED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240"/>
      </w:pPr>
      <w:rPr>
        <w:rFonts w:hint="eastAsia"/>
      </w:rPr>
    </w:lvl>
  </w:abstractNum>
  <w:abstractNum w:abstractNumId="24" w15:restartNumberingAfterBreak="0">
    <w:nsid w:val="61FA0927"/>
    <w:multiLevelType w:val="singleLevel"/>
    <w:tmpl w:val="4BC664F4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25" w15:restartNumberingAfterBreak="0">
    <w:nsid w:val="71DA7DA2"/>
    <w:multiLevelType w:val="singleLevel"/>
    <w:tmpl w:val="C7D8346E"/>
    <w:lvl w:ilvl="0">
      <w:start w:val="1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6" w15:restartNumberingAfterBreak="0">
    <w:nsid w:val="7A950864"/>
    <w:multiLevelType w:val="singleLevel"/>
    <w:tmpl w:val="055E229C"/>
    <w:lvl w:ilvl="0">
      <w:start w:val="5"/>
      <w:numFmt w:val="decimal"/>
      <w:lvlText w:val="%1."/>
      <w:legacy w:legacy="1" w:legacySpace="0" w:legacyIndent="255"/>
      <w:lvlJc w:val="left"/>
      <w:pPr>
        <w:ind w:left="1094" w:hanging="25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7" w15:restartNumberingAfterBreak="0">
    <w:nsid w:val="7BCA501E"/>
    <w:multiLevelType w:val="singleLevel"/>
    <w:tmpl w:val="CC2E98B6"/>
    <w:lvl w:ilvl="0">
      <w:start w:val="5"/>
      <w:numFmt w:val="decimal"/>
      <w:lvlText w:val="(%1)"/>
      <w:legacy w:legacy="1" w:legacySpace="0" w:legacyIndent="405"/>
      <w:lvlJc w:val="left"/>
      <w:pPr>
        <w:ind w:left="1488" w:hanging="40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8" w15:restartNumberingAfterBreak="0">
    <w:nsid w:val="7D057565"/>
    <w:multiLevelType w:val="hybridMultilevel"/>
    <w:tmpl w:val="E68C0474"/>
    <w:lvl w:ilvl="0" w:tplc="364452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FF4786B"/>
    <w:multiLevelType w:val="singleLevel"/>
    <w:tmpl w:val="C7D8346E"/>
    <w:lvl w:ilvl="0">
      <w:start w:val="9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3">
    <w:abstractNumId w:val="8"/>
  </w:num>
  <w:num w:numId="4">
    <w:abstractNumId w:val="17"/>
  </w:num>
  <w:num w:numId="5">
    <w:abstractNumId w:val="13"/>
  </w:num>
  <w:num w:numId="6">
    <w:abstractNumId w:val="27"/>
  </w:num>
  <w:num w:numId="7">
    <w:abstractNumId w:val="29"/>
  </w:num>
  <w:num w:numId="8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9">
    <w:abstractNumId w:val="25"/>
  </w:num>
  <w:num w:numId="10">
    <w:abstractNumId w:val="26"/>
  </w:num>
  <w:num w:numId="11">
    <w:abstractNumId w:val="0"/>
  </w:num>
  <w:num w:numId="12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4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5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6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8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0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1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2">
    <w:abstractNumId w:val="5"/>
  </w:num>
  <w:num w:numId="23">
    <w:abstractNumId w:val="9"/>
  </w:num>
  <w:num w:numId="24">
    <w:abstractNumId w:val="16"/>
  </w:num>
  <w:num w:numId="25">
    <w:abstractNumId w:val="21"/>
  </w:num>
  <w:num w:numId="26">
    <w:abstractNumId w:val="18"/>
  </w:num>
  <w:num w:numId="27">
    <w:abstractNumId w:val="19"/>
  </w:num>
  <w:num w:numId="28">
    <w:abstractNumId w:val="23"/>
  </w:num>
  <w:num w:numId="29">
    <w:abstractNumId w:val="12"/>
  </w:num>
  <w:num w:numId="30">
    <w:abstractNumId w:val="4"/>
  </w:num>
  <w:num w:numId="31">
    <w:abstractNumId w:val="2"/>
  </w:num>
  <w:num w:numId="32">
    <w:abstractNumId w:val="7"/>
  </w:num>
  <w:num w:numId="33">
    <w:abstractNumId w:val="11"/>
  </w:num>
  <w:num w:numId="34">
    <w:abstractNumId w:val="10"/>
  </w:num>
  <w:num w:numId="35">
    <w:abstractNumId w:val="15"/>
  </w:num>
  <w:num w:numId="36">
    <w:abstractNumId w:val="6"/>
  </w:num>
  <w:num w:numId="37">
    <w:abstractNumId w:val="24"/>
  </w:num>
  <w:num w:numId="38">
    <w:abstractNumId w:val="22"/>
  </w:num>
  <w:num w:numId="39">
    <w:abstractNumId w:val="14"/>
  </w:num>
  <w:num w:numId="40">
    <w:abstractNumId w:val="3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evenAndOddHeaders/>
  <w:drawingGridHorizontalSpacing w:val="12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A"/>
    <w:rsid w:val="00002B4D"/>
    <w:rsid w:val="00003DEF"/>
    <w:rsid w:val="00006801"/>
    <w:rsid w:val="0001577A"/>
    <w:rsid w:val="00017314"/>
    <w:rsid w:val="0002489A"/>
    <w:rsid w:val="00025C22"/>
    <w:rsid w:val="00026F23"/>
    <w:rsid w:val="000354DC"/>
    <w:rsid w:val="000376A8"/>
    <w:rsid w:val="000404A0"/>
    <w:rsid w:val="00043FE8"/>
    <w:rsid w:val="00046485"/>
    <w:rsid w:val="000473F8"/>
    <w:rsid w:val="000537F0"/>
    <w:rsid w:val="000554B3"/>
    <w:rsid w:val="000561A2"/>
    <w:rsid w:val="00061A87"/>
    <w:rsid w:val="00064230"/>
    <w:rsid w:val="0006499C"/>
    <w:rsid w:val="0006605E"/>
    <w:rsid w:val="00080FC6"/>
    <w:rsid w:val="00081B3A"/>
    <w:rsid w:val="00082066"/>
    <w:rsid w:val="00086D7F"/>
    <w:rsid w:val="00087FB7"/>
    <w:rsid w:val="000A10E2"/>
    <w:rsid w:val="000B0384"/>
    <w:rsid w:val="000C01E7"/>
    <w:rsid w:val="000C16CE"/>
    <w:rsid w:val="000D011E"/>
    <w:rsid w:val="000D2B84"/>
    <w:rsid w:val="000D55CF"/>
    <w:rsid w:val="000D5A12"/>
    <w:rsid w:val="000D6E7F"/>
    <w:rsid w:val="000E1597"/>
    <w:rsid w:val="000E564C"/>
    <w:rsid w:val="000E5B97"/>
    <w:rsid w:val="000E704D"/>
    <w:rsid w:val="000E74C8"/>
    <w:rsid w:val="000F3325"/>
    <w:rsid w:val="000F5D6E"/>
    <w:rsid w:val="00100825"/>
    <w:rsid w:val="0011279E"/>
    <w:rsid w:val="00112EDE"/>
    <w:rsid w:val="00116742"/>
    <w:rsid w:val="0011759D"/>
    <w:rsid w:val="0012136E"/>
    <w:rsid w:val="00122A88"/>
    <w:rsid w:val="00123917"/>
    <w:rsid w:val="00126A97"/>
    <w:rsid w:val="001300CD"/>
    <w:rsid w:val="00134681"/>
    <w:rsid w:val="0013729A"/>
    <w:rsid w:val="00141489"/>
    <w:rsid w:val="001414F7"/>
    <w:rsid w:val="00145EE2"/>
    <w:rsid w:val="00152DB1"/>
    <w:rsid w:val="00155ED2"/>
    <w:rsid w:val="00163EA2"/>
    <w:rsid w:val="00166AC9"/>
    <w:rsid w:val="00175E0F"/>
    <w:rsid w:val="00180655"/>
    <w:rsid w:val="001810DF"/>
    <w:rsid w:val="00181284"/>
    <w:rsid w:val="001823E5"/>
    <w:rsid w:val="00185BA8"/>
    <w:rsid w:val="0019532C"/>
    <w:rsid w:val="00195B29"/>
    <w:rsid w:val="001A57DD"/>
    <w:rsid w:val="001B3AFA"/>
    <w:rsid w:val="001B6DF1"/>
    <w:rsid w:val="001C298F"/>
    <w:rsid w:val="001D1192"/>
    <w:rsid w:val="001D2C30"/>
    <w:rsid w:val="001D61D8"/>
    <w:rsid w:val="001E06F7"/>
    <w:rsid w:val="001E4424"/>
    <w:rsid w:val="001E524E"/>
    <w:rsid w:val="001E599A"/>
    <w:rsid w:val="001E76D6"/>
    <w:rsid w:val="001F7BC9"/>
    <w:rsid w:val="002054BF"/>
    <w:rsid w:val="00205F03"/>
    <w:rsid w:val="002079D7"/>
    <w:rsid w:val="00207F86"/>
    <w:rsid w:val="00211215"/>
    <w:rsid w:val="002118BE"/>
    <w:rsid w:val="00211AF4"/>
    <w:rsid w:val="00215380"/>
    <w:rsid w:val="00216E48"/>
    <w:rsid w:val="0021788B"/>
    <w:rsid w:val="00217FA8"/>
    <w:rsid w:val="00221385"/>
    <w:rsid w:val="0022374D"/>
    <w:rsid w:val="00223A34"/>
    <w:rsid w:val="00224FE8"/>
    <w:rsid w:val="002268C9"/>
    <w:rsid w:val="002276D5"/>
    <w:rsid w:val="00232721"/>
    <w:rsid w:val="00235831"/>
    <w:rsid w:val="0024088A"/>
    <w:rsid w:val="0024457C"/>
    <w:rsid w:val="002502F0"/>
    <w:rsid w:val="002513F5"/>
    <w:rsid w:val="00251811"/>
    <w:rsid w:val="00267803"/>
    <w:rsid w:val="00277479"/>
    <w:rsid w:val="00282773"/>
    <w:rsid w:val="00282C95"/>
    <w:rsid w:val="0028465E"/>
    <w:rsid w:val="0029076E"/>
    <w:rsid w:val="0029452E"/>
    <w:rsid w:val="0029494F"/>
    <w:rsid w:val="00295D3D"/>
    <w:rsid w:val="002A7B79"/>
    <w:rsid w:val="002B117D"/>
    <w:rsid w:val="002B122E"/>
    <w:rsid w:val="002B3C22"/>
    <w:rsid w:val="002B5153"/>
    <w:rsid w:val="002B70E8"/>
    <w:rsid w:val="002C7A7C"/>
    <w:rsid w:val="002C7CCD"/>
    <w:rsid w:val="002D7A9A"/>
    <w:rsid w:val="002E2B0C"/>
    <w:rsid w:val="002E31EE"/>
    <w:rsid w:val="002E5B29"/>
    <w:rsid w:val="002E6AD3"/>
    <w:rsid w:val="002F4B18"/>
    <w:rsid w:val="002F6F87"/>
    <w:rsid w:val="00302255"/>
    <w:rsid w:val="003024A9"/>
    <w:rsid w:val="00307275"/>
    <w:rsid w:val="003113E4"/>
    <w:rsid w:val="0031145F"/>
    <w:rsid w:val="003126C3"/>
    <w:rsid w:val="003139DD"/>
    <w:rsid w:val="00313BD5"/>
    <w:rsid w:val="0031654E"/>
    <w:rsid w:val="003226EE"/>
    <w:rsid w:val="00327047"/>
    <w:rsid w:val="00331F1E"/>
    <w:rsid w:val="003329D4"/>
    <w:rsid w:val="00335877"/>
    <w:rsid w:val="0034237D"/>
    <w:rsid w:val="00342669"/>
    <w:rsid w:val="003479B6"/>
    <w:rsid w:val="0035115D"/>
    <w:rsid w:val="00356CFA"/>
    <w:rsid w:val="0036085A"/>
    <w:rsid w:val="00360EEF"/>
    <w:rsid w:val="00365BB8"/>
    <w:rsid w:val="003707AD"/>
    <w:rsid w:val="00371465"/>
    <w:rsid w:val="0037197F"/>
    <w:rsid w:val="00373BA6"/>
    <w:rsid w:val="00374791"/>
    <w:rsid w:val="00383150"/>
    <w:rsid w:val="00386499"/>
    <w:rsid w:val="00386E40"/>
    <w:rsid w:val="00387ABB"/>
    <w:rsid w:val="00391116"/>
    <w:rsid w:val="00392312"/>
    <w:rsid w:val="00392A9E"/>
    <w:rsid w:val="003A0BB4"/>
    <w:rsid w:val="003A3D1C"/>
    <w:rsid w:val="003A52C8"/>
    <w:rsid w:val="003B1737"/>
    <w:rsid w:val="003B2D0E"/>
    <w:rsid w:val="003B4B34"/>
    <w:rsid w:val="003B7A97"/>
    <w:rsid w:val="003B7B2E"/>
    <w:rsid w:val="003C1CEB"/>
    <w:rsid w:val="003C2230"/>
    <w:rsid w:val="003C426C"/>
    <w:rsid w:val="003D0DAB"/>
    <w:rsid w:val="003D48D7"/>
    <w:rsid w:val="003E306E"/>
    <w:rsid w:val="003E6023"/>
    <w:rsid w:val="003F0031"/>
    <w:rsid w:val="003F1775"/>
    <w:rsid w:val="003F648E"/>
    <w:rsid w:val="004003E7"/>
    <w:rsid w:val="0040293E"/>
    <w:rsid w:val="00403A92"/>
    <w:rsid w:val="004076FB"/>
    <w:rsid w:val="00412081"/>
    <w:rsid w:val="00414229"/>
    <w:rsid w:val="00422C05"/>
    <w:rsid w:val="00424D0C"/>
    <w:rsid w:val="00427679"/>
    <w:rsid w:val="00430F40"/>
    <w:rsid w:val="00431C40"/>
    <w:rsid w:val="004407A4"/>
    <w:rsid w:val="004545A8"/>
    <w:rsid w:val="00461403"/>
    <w:rsid w:val="004620B8"/>
    <w:rsid w:val="00464BBB"/>
    <w:rsid w:val="004726AF"/>
    <w:rsid w:val="00473BBA"/>
    <w:rsid w:val="004759F0"/>
    <w:rsid w:val="00475E13"/>
    <w:rsid w:val="00484640"/>
    <w:rsid w:val="00485D22"/>
    <w:rsid w:val="0048799B"/>
    <w:rsid w:val="004927F1"/>
    <w:rsid w:val="00493571"/>
    <w:rsid w:val="00494E40"/>
    <w:rsid w:val="004A1D64"/>
    <w:rsid w:val="004A3330"/>
    <w:rsid w:val="004A4509"/>
    <w:rsid w:val="004A52EF"/>
    <w:rsid w:val="004A682E"/>
    <w:rsid w:val="004B01C7"/>
    <w:rsid w:val="004B4E19"/>
    <w:rsid w:val="004B5D3B"/>
    <w:rsid w:val="004B75C8"/>
    <w:rsid w:val="004C5D2B"/>
    <w:rsid w:val="004C7882"/>
    <w:rsid w:val="004D143D"/>
    <w:rsid w:val="004D2ADD"/>
    <w:rsid w:val="004D3983"/>
    <w:rsid w:val="004E61F7"/>
    <w:rsid w:val="004F14C3"/>
    <w:rsid w:val="004F2BEB"/>
    <w:rsid w:val="004F4398"/>
    <w:rsid w:val="004F593E"/>
    <w:rsid w:val="005071D2"/>
    <w:rsid w:val="005104F4"/>
    <w:rsid w:val="005150F2"/>
    <w:rsid w:val="005166A1"/>
    <w:rsid w:val="00517569"/>
    <w:rsid w:val="00517E0C"/>
    <w:rsid w:val="00520FDB"/>
    <w:rsid w:val="00531003"/>
    <w:rsid w:val="005367DC"/>
    <w:rsid w:val="0053783A"/>
    <w:rsid w:val="005415FE"/>
    <w:rsid w:val="00544B43"/>
    <w:rsid w:val="005459DD"/>
    <w:rsid w:val="0054744F"/>
    <w:rsid w:val="00552A69"/>
    <w:rsid w:val="005555D3"/>
    <w:rsid w:val="00555BD9"/>
    <w:rsid w:val="00556F7C"/>
    <w:rsid w:val="0055777E"/>
    <w:rsid w:val="00560869"/>
    <w:rsid w:val="00567EEF"/>
    <w:rsid w:val="0057222B"/>
    <w:rsid w:val="00575654"/>
    <w:rsid w:val="005808D5"/>
    <w:rsid w:val="00580E27"/>
    <w:rsid w:val="00587812"/>
    <w:rsid w:val="00591893"/>
    <w:rsid w:val="00593360"/>
    <w:rsid w:val="00593C78"/>
    <w:rsid w:val="005A3422"/>
    <w:rsid w:val="005A3B41"/>
    <w:rsid w:val="005B2736"/>
    <w:rsid w:val="005B5361"/>
    <w:rsid w:val="005C49A1"/>
    <w:rsid w:val="005D4AF5"/>
    <w:rsid w:val="005D677F"/>
    <w:rsid w:val="005D6FB5"/>
    <w:rsid w:val="005E1C1A"/>
    <w:rsid w:val="005E3A5E"/>
    <w:rsid w:val="005F29E8"/>
    <w:rsid w:val="005F4A20"/>
    <w:rsid w:val="005F53AB"/>
    <w:rsid w:val="006002EC"/>
    <w:rsid w:val="00600B8A"/>
    <w:rsid w:val="006027D2"/>
    <w:rsid w:val="0060286C"/>
    <w:rsid w:val="006038B3"/>
    <w:rsid w:val="006071A4"/>
    <w:rsid w:val="006072AD"/>
    <w:rsid w:val="00607805"/>
    <w:rsid w:val="00607900"/>
    <w:rsid w:val="00607D69"/>
    <w:rsid w:val="006110E9"/>
    <w:rsid w:val="00612D8A"/>
    <w:rsid w:val="00620958"/>
    <w:rsid w:val="00632320"/>
    <w:rsid w:val="00635141"/>
    <w:rsid w:val="00636D55"/>
    <w:rsid w:val="00640252"/>
    <w:rsid w:val="00642A90"/>
    <w:rsid w:val="0064339D"/>
    <w:rsid w:val="00645AFB"/>
    <w:rsid w:val="00646513"/>
    <w:rsid w:val="00646EE0"/>
    <w:rsid w:val="0065147F"/>
    <w:rsid w:val="00653C2A"/>
    <w:rsid w:val="0066045A"/>
    <w:rsid w:val="00661792"/>
    <w:rsid w:val="006668E3"/>
    <w:rsid w:val="00673AC4"/>
    <w:rsid w:val="00677CFD"/>
    <w:rsid w:val="00680174"/>
    <w:rsid w:val="006844C5"/>
    <w:rsid w:val="0068707C"/>
    <w:rsid w:val="00695492"/>
    <w:rsid w:val="006A1607"/>
    <w:rsid w:val="006A5712"/>
    <w:rsid w:val="006A6872"/>
    <w:rsid w:val="006B0205"/>
    <w:rsid w:val="006B040D"/>
    <w:rsid w:val="006B3266"/>
    <w:rsid w:val="006B4731"/>
    <w:rsid w:val="006B68D5"/>
    <w:rsid w:val="006B7994"/>
    <w:rsid w:val="006B7BEF"/>
    <w:rsid w:val="006C13CF"/>
    <w:rsid w:val="006C7C60"/>
    <w:rsid w:val="006D0545"/>
    <w:rsid w:val="006D1057"/>
    <w:rsid w:val="006D1E09"/>
    <w:rsid w:val="006D37AC"/>
    <w:rsid w:val="006E0226"/>
    <w:rsid w:val="006E11AA"/>
    <w:rsid w:val="006F27D5"/>
    <w:rsid w:val="006F2FFD"/>
    <w:rsid w:val="006F31BC"/>
    <w:rsid w:val="007032BE"/>
    <w:rsid w:val="007041CA"/>
    <w:rsid w:val="00705644"/>
    <w:rsid w:val="007115D1"/>
    <w:rsid w:val="007127D8"/>
    <w:rsid w:val="007161E8"/>
    <w:rsid w:val="00717CB3"/>
    <w:rsid w:val="007218DB"/>
    <w:rsid w:val="0072282D"/>
    <w:rsid w:val="00722970"/>
    <w:rsid w:val="00727E51"/>
    <w:rsid w:val="00727F21"/>
    <w:rsid w:val="00742D79"/>
    <w:rsid w:val="007445A9"/>
    <w:rsid w:val="00744B0C"/>
    <w:rsid w:val="007476BF"/>
    <w:rsid w:val="00750B6B"/>
    <w:rsid w:val="0075156A"/>
    <w:rsid w:val="0075308C"/>
    <w:rsid w:val="007548E2"/>
    <w:rsid w:val="0075506F"/>
    <w:rsid w:val="007559E0"/>
    <w:rsid w:val="007561C2"/>
    <w:rsid w:val="00761C89"/>
    <w:rsid w:val="00763622"/>
    <w:rsid w:val="00765024"/>
    <w:rsid w:val="007651F6"/>
    <w:rsid w:val="00765A8D"/>
    <w:rsid w:val="0076656A"/>
    <w:rsid w:val="0077001E"/>
    <w:rsid w:val="007700BA"/>
    <w:rsid w:val="00770A71"/>
    <w:rsid w:val="00771F25"/>
    <w:rsid w:val="00771F7F"/>
    <w:rsid w:val="00772563"/>
    <w:rsid w:val="00772609"/>
    <w:rsid w:val="00772CAE"/>
    <w:rsid w:val="00773FDE"/>
    <w:rsid w:val="00776A37"/>
    <w:rsid w:val="00781888"/>
    <w:rsid w:val="0078255E"/>
    <w:rsid w:val="00790A43"/>
    <w:rsid w:val="0079153F"/>
    <w:rsid w:val="00797ACA"/>
    <w:rsid w:val="00797C06"/>
    <w:rsid w:val="00797EFC"/>
    <w:rsid w:val="007A19AA"/>
    <w:rsid w:val="007A1C00"/>
    <w:rsid w:val="007A75CC"/>
    <w:rsid w:val="007B0AF0"/>
    <w:rsid w:val="007B38DC"/>
    <w:rsid w:val="007B5711"/>
    <w:rsid w:val="007B61EC"/>
    <w:rsid w:val="007B7689"/>
    <w:rsid w:val="007C00A8"/>
    <w:rsid w:val="007C1D8F"/>
    <w:rsid w:val="007D6B5C"/>
    <w:rsid w:val="007E127A"/>
    <w:rsid w:val="007E1331"/>
    <w:rsid w:val="007E62C1"/>
    <w:rsid w:val="007F538A"/>
    <w:rsid w:val="007F613F"/>
    <w:rsid w:val="00800465"/>
    <w:rsid w:val="00806351"/>
    <w:rsid w:val="00814428"/>
    <w:rsid w:val="008147A5"/>
    <w:rsid w:val="008157DF"/>
    <w:rsid w:val="0081690B"/>
    <w:rsid w:val="00816BE2"/>
    <w:rsid w:val="00817233"/>
    <w:rsid w:val="00821837"/>
    <w:rsid w:val="00823A23"/>
    <w:rsid w:val="00824D52"/>
    <w:rsid w:val="008273F8"/>
    <w:rsid w:val="00827D19"/>
    <w:rsid w:val="00827E9E"/>
    <w:rsid w:val="00830C86"/>
    <w:rsid w:val="00836BBD"/>
    <w:rsid w:val="00855477"/>
    <w:rsid w:val="008565E9"/>
    <w:rsid w:val="00862E62"/>
    <w:rsid w:val="008659E6"/>
    <w:rsid w:val="00870B00"/>
    <w:rsid w:val="00877EE3"/>
    <w:rsid w:val="00887328"/>
    <w:rsid w:val="008910BB"/>
    <w:rsid w:val="00894C7E"/>
    <w:rsid w:val="00895FDB"/>
    <w:rsid w:val="008A108E"/>
    <w:rsid w:val="008A1C39"/>
    <w:rsid w:val="008A2846"/>
    <w:rsid w:val="008A3938"/>
    <w:rsid w:val="008A5E6C"/>
    <w:rsid w:val="008A6CD1"/>
    <w:rsid w:val="008B03C6"/>
    <w:rsid w:val="008B17A5"/>
    <w:rsid w:val="008B1943"/>
    <w:rsid w:val="008B1DFE"/>
    <w:rsid w:val="008B23B8"/>
    <w:rsid w:val="008B3BB7"/>
    <w:rsid w:val="008C702C"/>
    <w:rsid w:val="008D0B1F"/>
    <w:rsid w:val="008E3692"/>
    <w:rsid w:val="008E4167"/>
    <w:rsid w:val="008E49C2"/>
    <w:rsid w:val="008E5029"/>
    <w:rsid w:val="008E622B"/>
    <w:rsid w:val="00900F77"/>
    <w:rsid w:val="00901246"/>
    <w:rsid w:val="00902837"/>
    <w:rsid w:val="009114B3"/>
    <w:rsid w:val="009137DE"/>
    <w:rsid w:val="009139E7"/>
    <w:rsid w:val="00914D0E"/>
    <w:rsid w:val="0092210C"/>
    <w:rsid w:val="00923AFB"/>
    <w:rsid w:val="00924021"/>
    <w:rsid w:val="009254FD"/>
    <w:rsid w:val="0092695A"/>
    <w:rsid w:val="0092719A"/>
    <w:rsid w:val="00931FC3"/>
    <w:rsid w:val="00933F9E"/>
    <w:rsid w:val="009361AC"/>
    <w:rsid w:val="00941767"/>
    <w:rsid w:val="00941A12"/>
    <w:rsid w:val="009439BF"/>
    <w:rsid w:val="00952E16"/>
    <w:rsid w:val="00954BC5"/>
    <w:rsid w:val="00970719"/>
    <w:rsid w:val="00974B4A"/>
    <w:rsid w:val="0097644D"/>
    <w:rsid w:val="00984EEA"/>
    <w:rsid w:val="009869A7"/>
    <w:rsid w:val="00987B8F"/>
    <w:rsid w:val="00990EC7"/>
    <w:rsid w:val="009A30C9"/>
    <w:rsid w:val="009A565C"/>
    <w:rsid w:val="009A6E4C"/>
    <w:rsid w:val="009B0A99"/>
    <w:rsid w:val="009C14F6"/>
    <w:rsid w:val="009C27FF"/>
    <w:rsid w:val="009C5FBB"/>
    <w:rsid w:val="009D49F5"/>
    <w:rsid w:val="009D5F94"/>
    <w:rsid w:val="009D6CDC"/>
    <w:rsid w:val="009E089A"/>
    <w:rsid w:val="009E3469"/>
    <w:rsid w:val="009E6C1B"/>
    <w:rsid w:val="009E71F1"/>
    <w:rsid w:val="009E7459"/>
    <w:rsid w:val="009F04DC"/>
    <w:rsid w:val="009F20C4"/>
    <w:rsid w:val="009F3EAB"/>
    <w:rsid w:val="009F7386"/>
    <w:rsid w:val="00A00274"/>
    <w:rsid w:val="00A024B0"/>
    <w:rsid w:val="00A0276C"/>
    <w:rsid w:val="00A04EFD"/>
    <w:rsid w:val="00A06F45"/>
    <w:rsid w:val="00A107DE"/>
    <w:rsid w:val="00A12A1F"/>
    <w:rsid w:val="00A1328C"/>
    <w:rsid w:val="00A142BA"/>
    <w:rsid w:val="00A14993"/>
    <w:rsid w:val="00A15398"/>
    <w:rsid w:val="00A15EC5"/>
    <w:rsid w:val="00A1620C"/>
    <w:rsid w:val="00A16E07"/>
    <w:rsid w:val="00A208A1"/>
    <w:rsid w:val="00A237B3"/>
    <w:rsid w:val="00A278C6"/>
    <w:rsid w:val="00A30ED4"/>
    <w:rsid w:val="00A345A5"/>
    <w:rsid w:val="00A362C5"/>
    <w:rsid w:val="00A37E3D"/>
    <w:rsid w:val="00A409FB"/>
    <w:rsid w:val="00A46FD8"/>
    <w:rsid w:val="00A50825"/>
    <w:rsid w:val="00A512AB"/>
    <w:rsid w:val="00A53C3A"/>
    <w:rsid w:val="00A53EA6"/>
    <w:rsid w:val="00A5762C"/>
    <w:rsid w:val="00A60904"/>
    <w:rsid w:val="00A631B1"/>
    <w:rsid w:val="00A6402F"/>
    <w:rsid w:val="00A65D5E"/>
    <w:rsid w:val="00A65F80"/>
    <w:rsid w:val="00A71267"/>
    <w:rsid w:val="00A7272A"/>
    <w:rsid w:val="00A72842"/>
    <w:rsid w:val="00A76C12"/>
    <w:rsid w:val="00A81204"/>
    <w:rsid w:val="00A86C83"/>
    <w:rsid w:val="00A871EB"/>
    <w:rsid w:val="00A92A03"/>
    <w:rsid w:val="00A92F5E"/>
    <w:rsid w:val="00A93C35"/>
    <w:rsid w:val="00A973B7"/>
    <w:rsid w:val="00A97E95"/>
    <w:rsid w:val="00A97F68"/>
    <w:rsid w:val="00AA2831"/>
    <w:rsid w:val="00AA36DD"/>
    <w:rsid w:val="00AA6DE1"/>
    <w:rsid w:val="00AB27E2"/>
    <w:rsid w:val="00AC780A"/>
    <w:rsid w:val="00AD0463"/>
    <w:rsid w:val="00AD2836"/>
    <w:rsid w:val="00AD2D01"/>
    <w:rsid w:val="00AD47FF"/>
    <w:rsid w:val="00AD62C4"/>
    <w:rsid w:val="00AE0311"/>
    <w:rsid w:val="00AE2CF9"/>
    <w:rsid w:val="00AE55CC"/>
    <w:rsid w:val="00AE73D7"/>
    <w:rsid w:val="00AF1032"/>
    <w:rsid w:val="00AF18D7"/>
    <w:rsid w:val="00AF3820"/>
    <w:rsid w:val="00B00B46"/>
    <w:rsid w:val="00B01024"/>
    <w:rsid w:val="00B02119"/>
    <w:rsid w:val="00B02B3C"/>
    <w:rsid w:val="00B0512F"/>
    <w:rsid w:val="00B13659"/>
    <w:rsid w:val="00B15733"/>
    <w:rsid w:val="00B271ED"/>
    <w:rsid w:val="00B31483"/>
    <w:rsid w:val="00B41CEB"/>
    <w:rsid w:val="00B4272A"/>
    <w:rsid w:val="00B43123"/>
    <w:rsid w:val="00B45914"/>
    <w:rsid w:val="00B71BDB"/>
    <w:rsid w:val="00B721F9"/>
    <w:rsid w:val="00B82CF0"/>
    <w:rsid w:val="00B96C12"/>
    <w:rsid w:val="00B977E1"/>
    <w:rsid w:val="00BA0C11"/>
    <w:rsid w:val="00BA26D2"/>
    <w:rsid w:val="00BA2C90"/>
    <w:rsid w:val="00BA6426"/>
    <w:rsid w:val="00BA78BE"/>
    <w:rsid w:val="00BC0A8B"/>
    <w:rsid w:val="00BC2D6F"/>
    <w:rsid w:val="00BC4097"/>
    <w:rsid w:val="00BC6825"/>
    <w:rsid w:val="00BC7D09"/>
    <w:rsid w:val="00BD6E60"/>
    <w:rsid w:val="00BE42C4"/>
    <w:rsid w:val="00BE481F"/>
    <w:rsid w:val="00BE4A35"/>
    <w:rsid w:val="00BE500A"/>
    <w:rsid w:val="00BE67EE"/>
    <w:rsid w:val="00BE7F92"/>
    <w:rsid w:val="00BF18DD"/>
    <w:rsid w:val="00C02BE6"/>
    <w:rsid w:val="00C03B86"/>
    <w:rsid w:val="00C13405"/>
    <w:rsid w:val="00C13B2C"/>
    <w:rsid w:val="00C159DE"/>
    <w:rsid w:val="00C17221"/>
    <w:rsid w:val="00C20C0E"/>
    <w:rsid w:val="00C215C3"/>
    <w:rsid w:val="00C23904"/>
    <w:rsid w:val="00C25E63"/>
    <w:rsid w:val="00C27818"/>
    <w:rsid w:val="00C307E1"/>
    <w:rsid w:val="00C30894"/>
    <w:rsid w:val="00C316A6"/>
    <w:rsid w:val="00C31D4E"/>
    <w:rsid w:val="00C3760E"/>
    <w:rsid w:val="00C43205"/>
    <w:rsid w:val="00C440A1"/>
    <w:rsid w:val="00C50864"/>
    <w:rsid w:val="00C5570C"/>
    <w:rsid w:val="00C57EF2"/>
    <w:rsid w:val="00C6210E"/>
    <w:rsid w:val="00C6451F"/>
    <w:rsid w:val="00C66228"/>
    <w:rsid w:val="00C66688"/>
    <w:rsid w:val="00C747E9"/>
    <w:rsid w:val="00C76CA4"/>
    <w:rsid w:val="00C77CCB"/>
    <w:rsid w:val="00C85B1D"/>
    <w:rsid w:val="00C85DF1"/>
    <w:rsid w:val="00C86728"/>
    <w:rsid w:val="00C940BF"/>
    <w:rsid w:val="00CA250F"/>
    <w:rsid w:val="00CA5889"/>
    <w:rsid w:val="00CA7F8B"/>
    <w:rsid w:val="00CB16C5"/>
    <w:rsid w:val="00CB229B"/>
    <w:rsid w:val="00CB4283"/>
    <w:rsid w:val="00CC35E4"/>
    <w:rsid w:val="00CD08B4"/>
    <w:rsid w:val="00CD2EC9"/>
    <w:rsid w:val="00CD5C74"/>
    <w:rsid w:val="00CE0EBD"/>
    <w:rsid w:val="00CE1AC9"/>
    <w:rsid w:val="00CE2EBE"/>
    <w:rsid w:val="00CE5EF7"/>
    <w:rsid w:val="00CE7BC0"/>
    <w:rsid w:val="00D02FD8"/>
    <w:rsid w:val="00D037BC"/>
    <w:rsid w:val="00D05915"/>
    <w:rsid w:val="00D07F69"/>
    <w:rsid w:val="00D174FD"/>
    <w:rsid w:val="00D17737"/>
    <w:rsid w:val="00D17DAF"/>
    <w:rsid w:val="00D21BB6"/>
    <w:rsid w:val="00D226B4"/>
    <w:rsid w:val="00D23665"/>
    <w:rsid w:val="00D25743"/>
    <w:rsid w:val="00D42AB8"/>
    <w:rsid w:val="00D4385B"/>
    <w:rsid w:val="00D45D48"/>
    <w:rsid w:val="00D45F58"/>
    <w:rsid w:val="00D5002E"/>
    <w:rsid w:val="00D52623"/>
    <w:rsid w:val="00D600F0"/>
    <w:rsid w:val="00D60B09"/>
    <w:rsid w:val="00D67069"/>
    <w:rsid w:val="00D71C41"/>
    <w:rsid w:val="00D7428B"/>
    <w:rsid w:val="00D74B9E"/>
    <w:rsid w:val="00D74F37"/>
    <w:rsid w:val="00D7569B"/>
    <w:rsid w:val="00D75BC2"/>
    <w:rsid w:val="00D86573"/>
    <w:rsid w:val="00D86DA9"/>
    <w:rsid w:val="00D93792"/>
    <w:rsid w:val="00DA0F9D"/>
    <w:rsid w:val="00DA54DE"/>
    <w:rsid w:val="00DB0398"/>
    <w:rsid w:val="00DB70CE"/>
    <w:rsid w:val="00DC2D30"/>
    <w:rsid w:val="00DC4338"/>
    <w:rsid w:val="00DC640D"/>
    <w:rsid w:val="00DE005A"/>
    <w:rsid w:val="00DE75D4"/>
    <w:rsid w:val="00DE7A08"/>
    <w:rsid w:val="00DF12EF"/>
    <w:rsid w:val="00DF1D3D"/>
    <w:rsid w:val="00DF259E"/>
    <w:rsid w:val="00DF275B"/>
    <w:rsid w:val="00DF4C4D"/>
    <w:rsid w:val="00DF5A5A"/>
    <w:rsid w:val="00DF5CA1"/>
    <w:rsid w:val="00E00A68"/>
    <w:rsid w:val="00E05125"/>
    <w:rsid w:val="00E1331A"/>
    <w:rsid w:val="00E138BB"/>
    <w:rsid w:val="00E1415F"/>
    <w:rsid w:val="00E157F0"/>
    <w:rsid w:val="00E16080"/>
    <w:rsid w:val="00E16C32"/>
    <w:rsid w:val="00E20938"/>
    <w:rsid w:val="00E21262"/>
    <w:rsid w:val="00E25A48"/>
    <w:rsid w:val="00E27108"/>
    <w:rsid w:val="00E373A0"/>
    <w:rsid w:val="00E37D4A"/>
    <w:rsid w:val="00E41A1E"/>
    <w:rsid w:val="00E45D8C"/>
    <w:rsid w:val="00E46BF5"/>
    <w:rsid w:val="00E5004B"/>
    <w:rsid w:val="00E523EC"/>
    <w:rsid w:val="00E52EF1"/>
    <w:rsid w:val="00E53943"/>
    <w:rsid w:val="00E53D62"/>
    <w:rsid w:val="00E54C80"/>
    <w:rsid w:val="00E577EB"/>
    <w:rsid w:val="00E57E0A"/>
    <w:rsid w:val="00E65780"/>
    <w:rsid w:val="00E70D7A"/>
    <w:rsid w:val="00E71FE5"/>
    <w:rsid w:val="00E7207F"/>
    <w:rsid w:val="00E730D6"/>
    <w:rsid w:val="00E74451"/>
    <w:rsid w:val="00E76B10"/>
    <w:rsid w:val="00E80962"/>
    <w:rsid w:val="00E84E03"/>
    <w:rsid w:val="00E84FD4"/>
    <w:rsid w:val="00E852BC"/>
    <w:rsid w:val="00E86ECA"/>
    <w:rsid w:val="00E87C25"/>
    <w:rsid w:val="00E90CE5"/>
    <w:rsid w:val="00E9228A"/>
    <w:rsid w:val="00E96191"/>
    <w:rsid w:val="00EA0507"/>
    <w:rsid w:val="00EA17EE"/>
    <w:rsid w:val="00EA48A8"/>
    <w:rsid w:val="00EA4FB0"/>
    <w:rsid w:val="00EB3627"/>
    <w:rsid w:val="00EB5BE2"/>
    <w:rsid w:val="00EB76E5"/>
    <w:rsid w:val="00EB7BA1"/>
    <w:rsid w:val="00EC0291"/>
    <w:rsid w:val="00EC573F"/>
    <w:rsid w:val="00EC69E0"/>
    <w:rsid w:val="00ED1FC0"/>
    <w:rsid w:val="00ED60F0"/>
    <w:rsid w:val="00ED68DC"/>
    <w:rsid w:val="00EE4C6A"/>
    <w:rsid w:val="00EE63C4"/>
    <w:rsid w:val="00EF1BAA"/>
    <w:rsid w:val="00EF2CF7"/>
    <w:rsid w:val="00EF74F2"/>
    <w:rsid w:val="00F00BFD"/>
    <w:rsid w:val="00F02F6E"/>
    <w:rsid w:val="00F0556E"/>
    <w:rsid w:val="00F06D31"/>
    <w:rsid w:val="00F12BE2"/>
    <w:rsid w:val="00F15A93"/>
    <w:rsid w:val="00F2536C"/>
    <w:rsid w:val="00F269AE"/>
    <w:rsid w:val="00F35511"/>
    <w:rsid w:val="00F36E7B"/>
    <w:rsid w:val="00F4105B"/>
    <w:rsid w:val="00F60072"/>
    <w:rsid w:val="00F62017"/>
    <w:rsid w:val="00F63C36"/>
    <w:rsid w:val="00F6694C"/>
    <w:rsid w:val="00F70F4B"/>
    <w:rsid w:val="00F7730A"/>
    <w:rsid w:val="00F773E8"/>
    <w:rsid w:val="00F77BAA"/>
    <w:rsid w:val="00F80032"/>
    <w:rsid w:val="00F83B10"/>
    <w:rsid w:val="00F857AA"/>
    <w:rsid w:val="00F87028"/>
    <w:rsid w:val="00F96E4C"/>
    <w:rsid w:val="00F9739E"/>
    <w:rsid w:val="00FA06E4"/>
    <w:rsid w:val="00FA133C"/>
    <w:rsid w:val="00FA140E"/>
    <w:rsid w:val="00FA2119"/>
    <w:rsid w:val="00FA6D72"/>
    <w:rsid w:val="00FA6DC2"/>
    <w:rsid w:val="00FB113A"/>
    <w:rsid w:val="00FB3449"/>
    <w:rsid w:val="00FC39D3"/>
    <w:rsid w:val="00FC6EAF"/>
    <w:rsid w:val="00FD22E7"/>
    <w:rsid w:val="00FD71B0"/>
    <w:rsid w:val="00FD7623"/>
    <w:rsid w:val="00FE414F"/>
    <w:rsid w:val="00FF5A95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8F4A1CCD-DED8-4695-A5AC-0238AB9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center"/>
      <w:textAlignment w:val="baseline"/>
    </w:pPr>
    <w:rPr>
      <w:rFonts w:eastAsia="標楷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1066" w:hanging="227"/>
      <w:jc w:val="both"/>
    </w:pPr>
    <w:rPr>
      <w:rFonts w:ascii="華康楷書體W5"/>
      <w:spacing w:val="20"/>
      <w:sz w:val="28"/>
    </w:rPr>
  </w:style>
  <w:style w:type="paragraph" w:styleId="2">
    <w:name w:val="Body Text 2"/>
    <w:basedOn w:val="a"/>
    <w:rPr>
      <w:rFonts w:eastAsia="標楷體"/>
      <w:sz w:val="16"/>
    </w:rPr>
  </w:style>
  <w:style w:type="paragraph" w:styleId="20">
    <w:name w:val="Body Text Indent 2"/>
    <w:basedOn w:val="a"/>
    <w:pPr>
      <w:spacing w:line="360" w:lineRule="auto"/>
      <w:ind w:left="800"/>
      <w:jc w:val="both"/>
    </w:pPr>
    <w:rPr>
      <w:rFonts w:ascii="標楷體" w:eastAsia="標楷體"/>
      <w:spacing w:val="20"/>
      <w:sz w:val="30"/>
    </w:rPr>
  </w:style>
  <w:style w:type="paragraph" w:styleId="3">
    <w:name w:val="Body Text Indent 3"/>
    <w:basedOn w:val="a"/>
    <w:pPr>
      <w:spacing w:line="360" w:lineRule="auto"/>
      <w:ind w:left="800"/>
      <w:jc w:val="both"/>
    </w:pPr>
    <w:rPr>
      <w:rFonts w:ascii="標楷體" w:eastAsia="標楷體"/>
      <w:color w:val="000000"/>
      <w:spacing w:val="20"/>
      <w:sz w:val="30"/>
    </w:rPr>
  </w:style>
  <w:style w:type="paragraph" w:customStyle="1" w:styleId="a8">
    <w:name w:val="文(首行縮)"/>
    <w:basedOn w:val="a"/>
    <w:rsid w:val="00ED1FC0"/>
    <w:pPr>
      <w:spacing w:after="60" w:line="560" w:lineRule="atLeast"/>
      <w:ind w:firstLine="652"/>
      <w:jc w:val="both"/>
    </w:pPr>
    <w:rPr>
      <w:spacing w:val="14"/>
      <w:sz w:val="30"/>
    </w:rPr>
  </w:style>
  <w:style w:type="paragraph" w:styleId="a9">
    <w:name w:val="Balloon Text"/>
    <w:basedOn w:val="a"/>
    <w:semiHidden/>
    <w:rsid w:val="00C440A1"/>
    <w:rPr>
      <w:rFonts w:ascii="Arial" w:eastAsia="新細明體" w:hAnsi="Arial"/>
      <w:sz w:val="18"/>
      <w:szCs w:val="18"/>
    </w:rPr>
  </w:style>
  <w:style w:type="paragraph" w:customStyle="1" w:styleId="Standard">
    <w:name w:val="Standard"/>
    <w:rsid w:val="00F60072"/>
    <w:pPr>
      <w:widowControl w:val="0"/>
      <w:suppressAutoHyphens/>
      <w:autoSpaceDN w:val="0"/>
      <w:textAlignment w:val="baseline"/>
    </w:pPr>
    <w:rPr>
      <w:rFonts w:eastAsia="華康楷書體W5, 新細明體"/>
      <w:kern w:val="3"/>
      <w:sz w:val="24"/>
    </w:rPr>
  </w:style>
  <w:style w:type="paragraph" w:styleId="30">
    <w:name w:val="Body Text 3"/>
    <w:basedOn w:val="a"/>
    <w:link w:val="31"/>
    <w:rsid w:val="00677CFD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rsid w:val="00677CFD"/>
    <w:rPr>
      <w:rFonts w:eastAsia="華康楷書體W5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0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87&#27770;&#31639;&#32317;&#35498;&#26126;\87&#32317;&#35498;&#26126;\87&#32317;&#35498;&#26126;2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___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0.xml"/><Relationship Id="rId2" Type="http://schemas.openxmlformats.org/officeDocument/2006/relationships/package" Target="../embeddings/Microsoft_Excel____10.xlsx"/><Relationship Id="rId1" Type="http://schemas.openxmlformats.org/officeDocument/2006/relationships/themeOverride" Target="../theme/themeOverride10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525" b="0" i="0" u="none" strike="noStrike" kern="1200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580" dirty="0"/>
              <a:t>負 債 及 </a:t>
            </a:r>
            <a:r>
              <a:rPr lang="zh-TW" altLang="en-US" sz="1580" dirty="0" smtClean="0"/>
              <a:t>權 益</a:t>
            </a:r>
            <a:r>
              <a:rPr lang="en-US" altLang="zh-TW" sz="1580" b="0" i="0" u="none" strike="noStrike" baseline="0">
                <a:effectLst/>
              </a:rPr>
              <a:t>(</a:t>
            </a:r>
            <a:r>
              <a:rPr lang="en-US" altLang="zh-TW" sz="158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37</a:t>
            </a:r>
            <a:r>
              <a:rPr lang="zh-TW" altLang="zh-TW" sz="158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兆</a:t>
            </a:r>
            <a:r>
              <a:rPr lang="en-US" altLang="zh-TW" sz="158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6,917</a:t>
            </a:r>
            <a:r>
              <a:rPr lang="zh-TW" altLang="zh-TW" sz="1580" b="0" i="0" u="none" strike="noStrike" baseline="0">
                <a:effectLst/>
              </a:rPr>
              <a:t>億元</a:t>
            </a:r>
            <a:r>
              <a:rPr lang="en-US" altLang="zh-TW" sz="1580" b="0" i="0" u="none" strike="noStrike" baseline="0">
                <a:effectLst/>
              </a:rPr>
              <a:t>)</a:t>
            </a:r>
            <a:endParaRPr lang="zh-TW" altLang="en-US" sz="158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89467662696009"/>
          <c:y val="3.6934441366574329E-3"/>
        </c:manualLayout>
      </c:layout>
      <c:overlay val="0"/>
      <c:spPr>
        <a:noFill/>
        <a:ln w="25399">
          <a:noFill/>
        </a:ln>
      </c:spPr>
    </c:title>
    <c:autoTitleDeleted val="0"/>
    <c:view3D>
      <c:rotX val="35"/>
      <c:rotY val="35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17223198594024"/>
          <c:y val="0.31527093596059114"/>
          <c:w val="0.70650263620386644"/>
          <c:h val="0.68472906403940892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207-4039-8A88-11ECFC0B6FB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E207-4039-8A88-11ECFC0B6FB8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E207-4039-8A88-11ECFC0B6FB8}"/>
              </c:ext>
            </c:extLst>
          </c:dPt>
          <c:dPt>
            <c:idx val="3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207-4039-8A88-11ECFC0B6FB8}"/>
              </c:ext>
            </c:extLst>
          </c:dPt>
          <c:dPt>
            <c:idx val="4"/>
            <c:bubble3D val="0"/>
            <c:spPr>
              <a:solidFill>
                <a:srgbClr val="C0C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E207-4039-8A88-11ECFC0B6FB8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E207-4039-8A88-11ECFC0B6FB8}"/>
              </c:ext>
            </c:extLst>
          </c:dPt>
          <c:dPt>
            <c:idx val="7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E207-4039-8A88-11ECFC0B6FB8}"/>
              </c:ext>
            </c:extLst>
          </c:dPt>
          <c:dPt>
            <c:idx val="8"/>
            <c:bubble3D val="0"/>
            <c:spPr>
              <a:solidFill>
                <a:srgbClr val="69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E207-4039-8A88-11ECFC0B6FB8}"/>
              </c:ext>
            </c:extLst>
          </c:dPt>
          <c:dLbls>
            <c:dLbl>
              <c:idx val="0"/>
              <c:layout>
                <c:manualLayout>
                  <c:x val="-2.6549096389784908E-3"/>
                  <c:y val="5.1987963747094544E-2"/>
                </c:manualLayout>
              </c:layout>
              <c:tx>
                <c:rich>
                  <a:bodyPr vertOverflow="overflow" horzOverflow="overflow">
                    <a:spAutoFit/>
                  </a:bodyPr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65DF294B-BFEB-41C6-8F89-7812427EBFA1}" type="CATEGORYNAME">
                      <a:rPr lang="zh-TW" alt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zh-TW" altLang="en-US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en-US" altLang="zh-TW" sz="900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43.1</a:t>
                    </a:r>
                    <a:r>
                      <a:rPr lang="zh-TW" altLang="en-US" sz="900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％</a:t>
                    </a:r>
                  </a:p>
                </c:rich>
              </c:tx>
              <c:numFmt formatCode="0.0%" sourceLinked="0"/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207-4039-8A88-11ECFC0B6FB8}"/>
                </c:ext>
              </c:extLst>
            </c:dLbl>
            <c:dLbl>
              <c:idx val="1"/>
              <c:layout>
                <c:manualLayout>
                  <c:x val="-5.1781748435291743E-2"/>
                  <c:y val="-3.8470274318203303E-2"/>
                </c:manualLayout>
              </c:layout>
              <c:tx>
                <c:rich>
                  <a:bodyPr vertOverflow="overflow" horzOverflow="overflow">
                    <a:spAutoFit/>
                  </a:bodyPr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76D22A79-DE22-46EF-AD68-736143083901}" type="CATEGORYNAME">
                      <a:rPr lang="zh-TW" alt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zh-TW" altLang="en-US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en-US" altLang="zh-TW" sz="900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35.3</a:t>
                    </a:r>
                    <a:r>
                      <a:rPr lang="zh-TW" altLang="en-US" sz="900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％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4281822092634195"/>
                      <c:h val="0.109587783008418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207-4039-8A88-11ECFC0B6FB8}"/>
                </c:ext>
              </c:extLst>
            </c:dLbl>
            <c:dLbl>
              <c:idx val="2"/>
              <c:layout>
                <c:manualLayout>
                  <c:x val="-1.7881575178773493E-2"/>
                  <c:y val="1.0398986167918942E-2"/>
                </c:manualLayout>
              </c:layout>
              <c:tx>
                <c:rich>
                  <a:bodyPr vertOverflow="overflow" horzOverflow="overflow">
                    <a:spAutoFit/>
                  </a:bodyPr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768F5F94-9D45-4E6C-8C38-1808BBABE6C2}" type="CATEGORYNAME">
                      <a:rPr lang="zh-TW" altLang="en-US"/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8.8</a:t>
                    </a:r>
                    <a:r>
                      <a:rPr lang="zh-TW" altLang="en-US" baseline="0"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％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207-4039-8A88-11ECFC0B6FB8}"/>
                </c:ext>
              </c:extLst>
            </c:dLbl>
            <c:dLbl>
              <c:idx val="3"/>
              <c:layout>
                <c:manualLayout>
                  <c:x val="-1.9694443429109153E-2"/>
                  <c:y val="2.2152708357828306E-3"/>
                </c:manualLayout>
              </c:layout>
              <c:tx>
                <c:rich>
                  <a:bodyPr vertOverflow="overflow" horzOverflow="overflow">
                    <a:spAutoFit/>
                  </a:bodyPr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870E8A78-FC56-4220-A3AD-F7CE30B06576}" type="CATEGORYNAME">
                      <a:rPr lang="zh-TW" alt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zh-TW" altLang="en-US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6B1EA21-2808-4559-9252-5A944974EAB5}" type="PERCENTAGE">
                      <a:rPr lang="en-US" altLang="zh-TW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[百分比]</a:t>
                    </a:fld>
                    <a:endParaRPr lang="zh-TW" altLang="en-US" sz="900" baseline="0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0.0%" sourceLinked="0"/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207-4039-8A88-11ECFC0B6FB8}"/>
                </c:ext>
              </c:extLst>
            </c:dLbl>
            <c:dLbl>
              <c:idx val="4"/>
              <c:layout>
                <c:manualLayout>
                  <c:x val="-0.13430636875518764"/>
                  <c:y val="-6.6711453312103333E-2"/>
                </c:manualLayout>
              </c:layout>
              <c:tx>
                <c:rich>
                  <a:bodyPr vertOverflow="overflow" horzOverflow="overflow">
                    <a:noAutofit/>
                  </a:bodyPr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3C09B408-2901-42A0-961E-A32148B302F1}" type="CATEGORYNAME">
                      <a:rPr lang="zh-TW" alt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zh-TW" altLang="en-US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94BCA15A-C4D0-485A-A4EF-2C0266BC864C}" type="PERCENTAGE">
                      <a:rPr lang="en-US" altLang="zh-TW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[百分比]</a:t>
                    </a:fld>
                    <a:endParaRPr lang="zh-TW" altLang="en-US" sz="900" baseline="0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3093139363675302"/>
                      <c:h val="6.344555858382126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E207-4039-8A88-11ECFC0B6FB8}"/>
                </c:ext>
              </c:extLst>
            </c:dLbl>
            <c:dLbl>
              <c:idx val="5"/>
              <c:layout>
                <c:manualLayout>
                  <c:x val="1.0157575068459404E-3"/>
                  <c:y val="-0.13045051413461098"/>
                </c:manualLayout>
              </c:layout>
              <c:tx>
                <c:rich>
                  <a:bodyPr/>
                  <a:lstStyle/>
                  <a:p>
                    <a:fld id="{67AD2954-A967-45E7-84C5-6977356F574E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 dirty="0"/>
                      <a:t>
</a:t>
                    </a:r>
                    <a:fld id="{2D391E72-B14F-451D-AFF0-705284B974F0}" type="PERCENTAGE"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[百分比]</a:t>
                    </a:fld>
                    <a:endParaRPr lang="zh-TW" altLang="en-US" baseline="0" dirty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E207-4039-8A88-11ECFC0B6FB8}"/>
                </c:ext>
              </c:extLst>
            </c:dLbl>
            <c:dLbl>
              <c:idx val="6"/>
              <c:layout>
                <c:manualLayout>
                  <c:x val="0.15903874195212778"/>
                  <c:y val="-6.83825186671610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46723646723647"/>
                      <c:h val="0.178929046611555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E207-4039-8A88-11ECFC0B6FB8}"/>
                </c:ext>
              </c:extLst>
            </c:dLbl>
            <c:dLbl>
              <c:idx val="7"/>
              <c:layout>
                <c:manualLayout>
                  <c:x val="0.21751216995311484"/>
                  <c:y val="-0.1323349401269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207-4039-8A88-11ECFC0B6FB8}"/>
                </c:ext>
              </c:extLst>
            </c:dLbl>
            <c:dLbl>
              <c:idx val="8"/>
              <c:layout>
                <c:manualLayout>
                  <c:x val="0.31374610225003924"/>
                  <c:y val="-9.1638129721319456E-4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 vertOverflow="overflow" horzOverflow="overflow">
                  <a:spAutoFit/>
                </a:bodyPr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207-4039-8A88-11ECFC0B6FB8}"/>
                </c:ext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 vertOverflow="overflow" horzOverflow="overflow"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Sheet1!$B$1:$J$1</c:f>
              <c:strCache>
                <c:ptCount val="9"/>
                <c:pt idx="0">
                  <c:v>流動負債</c:v>
                </c:pt>
                <c:pt idx="1">
                  <c:v>存款、匯款及金融債券</c:v>
                </c:pt>
                <c:pt idx="2">
                  <c:v>其他負債</c:v>
                </c:pt>
                <c:pt idx="3">
                  <c:v>資本</c:v>
                </c:pt>
                <c:pt idx="4">
                  <c:v>保留盈餘</c:v>
                </c:pt>
                <c:pt idx="5">
                  <c:v>央行及同業融資與長期負債</c:v>
                </c:pt>
                <c:pt idx="6">
                  <c:v>首次採用國際財務報導準則調整數</c:v>
                </c:pt>
                <c:pt idx="7">
                  <c:v>資本公積</c:v>
                </c:pt>
                <c:pt idx="8">
                  <c:v>累積其他綜合損益及非控制權益</c:v>
                </c:pt>
              </c:strCache>
            </c:strRef>
          </c:cat>
          <c:val>
            <c:numRef>
              <c:f>Sheet1!$B$2:$J$2</c:f>
              <c:numCache>
                <c:formatCode>#,##0.00_ </c:formatCode>
                <c:ptCount val="9"/>
                <c:pt idx="0">
                  <c:v>16265622374675.9</c:v>
                </c:pt>
                <c:pt idx="1">
                  <c:v>13289768445728.1</c:v>
                </c:pt>
                <c:pt idx="2">
                  <c:v>3303270018360.23</c:v>
                </c:pt>
                <c:pt idx="3">
                  <c:v>1337640520472.5901</c:v>
                </c:pt>
                <c:pt idx="4">
                  <c:v>1122919661318.1001</c:v>
                </c:pt>
                <c:pt idx="5">
                  <c:v>1023380143837.09</c:v>
                </c:pt>
                <c:pt idx="6">
                  <c:v>978341380821.73999</c:v>
                </c:pt>
                <c:pt idx="7">
                  <c:v>221050557143.17001</c:v>
                </c:pt>
                <c:pt idx="8">
                  <c:v>149682661510.57999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207-4039-8A88-11ECFC0B6F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9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525" b="0" i="0" u="none" strike="noStrike" kern="1200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dirty="0"/>
              <a:t>負債及</a:t>
            </a:r>
            <a:r>
              <a:rPr lang="zh-TW" altLang="en-US" dirty="0" smtClean="0"/>
              <a:t>權益</a:t>
            </a:r>
            <a:r>
              <a:rPr lang="en-US" altLang="zh-TW" sz="1525" b="0" i="0" u="none" strike="noStrike" kern="1200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(37</a:t>
            </a:r>
            <a:r>
              <a:rPr lang="zh-TW" altLang="zh-TW" sz="1525" b="0" i="0" u="none" strike="noStrike" kern="1200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兆</a:t>
            </a:r>
            <a:r>
              <a:rPr lang="en-US" altLang="zh-TW" sz="1525" b="0" i="0" u="none" strike="noStrike" kern="1200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6,917</a:t>
            </a:r>
            <a:r>
              <a:rPr lang="zh-TW" altLang="zh-TW" sz="1525" b="0" i="0" u="none" strike="noStrike" kern="1200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億元</a:t>
            </a:r>
            <a:r>
              <a:rPr lang="en-US" altLang="zh-TW" sz="1525" b="0" i="0" u="none" strike="noStrike" kern="1200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)</a:t>
            </a:r>
            <a:endParaRPr lang="zh-TW" altLang="en-US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441674609712917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35"/>
      <c:rotY val="35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17223198594024"/>
          <c:y val="0.31527093596059114"/>
          <c:w val="0.70650263620386644"/>
          <c:h val="0.68472906403940892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207-4039-8A88-11ECFC0B6FB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E207-4039-8A88-11ECFC0B6FB8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E207-4039-8A88-11ECFC0B6FB8}"/>
              </c:ext>
            </c:extLst>
          </c:dPt>
          <c:dPt>
            <c:idx val="3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207-4039-8A88-11ECFC0B6FB8}"/>
              </c:ext>
            </c:extLst>
          </c:dPt>
          <c:dPt>
            <c:idx val="4"/>
            <c:bubble3D val="0"/>
            <c:spPr>
              <a:solidFill>
                <a:srgbClr val="C0C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E207-4039-8A88-11ECFC0B6FB8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E207-4039-8A88-11ECFC0B6FB8}"/>
              </c:ext>
            </c:extLst>
          </c:dPt>
          <c:dPt>
            <c:idx val="7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E207-4039-8A88-11ECFC0B6FB8}"/>
              </c:ext>
            </c:extLst>
          </c:dPt>
          <c:dPt>
            <c:idx val="8"/>
            <c:bubble3D val="0"/>
            <c:spPr>
              <a:solidFill>
                <a:srgbClr val="69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E207-4039-8A88-11ECFC0B6FB8}"/>
              </c:ext>
            </c:extLst>
          </c:dPt>
          <c:dLbls>
            <c:dLbl>
              <c:idx val="0"/>
              <c:layout>
                <c:manualLayout>
                  <c:x val="-2.6549096389784908E-3"/>
                  <c:y val="5.1987963747094544E-2"/>
                </c:manualLayout>
              </c:layout>
              <c:tx>
                <c:rich>
                  <a:bodyPr vertOverflow="overflow" horzOverflow="overflow">
                    <a:spAutoFit/>
                  </a:bodyPr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65DF294B-BFEB-41C6-8F89-7812427EBFA1}" type="CATEGORYNAME">
                      <a:rPr lang="zh-TW" alt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zh-TW" altLang="en-US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en-US" altLang="zh-TW" sz="900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43.1</a:t>
                    </a:r>
                    <a:r>
                      <a:rPr lang="zh-TW" altLang="en-US" sz="900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％</a:t>
                    </a:r>
                  </a:p>
                </c:rich>
              </c:tx>
              <c:numFmt formatCode="0.0%" sourceLinked="0"/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207-4039-8A88-11ECFC0B6FB8}"/>
                </c:ext>
              </c:extLst>
            </c:dLbl>
            <c:dLbl>
              <c:idx val="1"/>
              <c:layout>
                <c:manualLayout>
                  <c:x val="-5.1781748435291743E-2"/>
                  <c:y val="-3.8470274318203303E-2"/>
                </c:manualLayout>
              </c:layout>
              <c:tx>
                <c:rich>
                  <a:bodyPr vertOverflow="overflow" horzOverflow="overflow">
                    <a:spAutoFit/>
                  </a:bodyPr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76D22A79-DE22-46EF-AD68-736143083901}" type="CATEGORYNAME">
                      <a:rPr lang="zh-TW" alt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zh-TW" altLang="en-US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en-US" altLang="zh-TW" sz="900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35.3</a:t>
                    </a:r>
                    <a:r>
                      <a:rPr lang="zh-TW" altLang="en-US" sz="900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％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4281822092634195"/>
                      <c:h val="0.109587783008418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207-4039-8A88-11ECFC0B6FB8}"/>
                </c:ext>
              </c:extLst>
            </c:dLbl>
            <c:dLbl>
              <c:idx val="2"/>
              <c:layout>
                <c:manualLayout>
                  <c:x val="-1.7881575178773493E-2"/>
                  <c:y val="1.0398986167918942E-2"/>
                </c:manualLayout>
              </c:layout>
              <c:tx>
                <c:rich>
                  <a:bodyPr vertOverflow="overflow" horzOverflow="overflow">
                    <a:spAutoFit/>
                  </a:bodyPr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768F5F94-9D45-4E6C-8C38-1808BBABE6C2}" type="CATEGORYNAME">
                      <a:rPr lang="zh-TW" altLang="en-US"/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8.8</a:t>
                    </a:r>
                    <a:r>
                      <a:rPr lang="zh-TW" altLang="en-US" baseline="0"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％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207-4039-8A88-11ECFC0B6FB8}"/>
                </c:ext>
              </c:extLst>
            </c:dLbl>
            <c:dLbl>
              <c:idx val="3"/>
              <c:layout>
                <c:manualLayout>
                  <c:x val="-1.9694443429109153E-2"/>
                  <c:y val="2.2152708357828306E-3"/>
                </c:manualLayout>
              </c:layout>
              <c:tx>
                <c:rich>
                  <a:bodyPr vertOverflow="overflow" horzOverflow="overflow">
                    <a:spAutoFit/>
                  </a:bodyPr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870E8A78-FC56-4220-A3AD-F7CE30B06576}" type="CATEGORYNAME">
                      <a:rPr lang="zh-TW" alt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zh-TW" altLang="en-US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6B1EA21-2808-4559-9252-5A944974EAB5}" type="PERCENTAGE">
                      <a:rPr lang="en-US" altLang="zh-TW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[百分比]</a:t>
                    </a:fld>
                    <a:endParaRPr lang="zh-TW" altLang="en-US" sz="900" baseline="0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0.0%" sourceLinked="0"/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207-4039-8A88-11ECFC0B6FB8}"/>
                </c:ext>
              </c:extLst>
            </c:dLbl>
            <c:dLbl>
              <c:idx val="4"/>
              <c:layout>
                <c:manualLayout>
                  <c:x val="-0.13430636875518764"/>
                  <c:y val="-6.6711453312103333E-2"/>
                </c:manualLayout>
              </c:layout>
              <c:tx>
                <c:rich>
                  <a:bodyPr vertOverflow="overflow" horzOverflow="overflow">
                    <a:noAutofit/>
                  </a:bodyPr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3C09B408-2901-42A0-961E-A32148B302F1}" type="CATEGORYNAME">
                      <a:rPr lang="zh-TW" alt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zh-TW" altLang="en-US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94BCA15A-C4D0-485A-A4EF-2C0266BC864C}" type="PERCENTAGE">
                      <a:rPr lang="en-US" altLang="zh-TW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[百分比]</a:t>
                    </a:fld>
                    <a:endParaRPr lang="zh-TW" altLang="en-US" sz="900" baseline="0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3093139363675302"/>
                      <c:h val="6.344555858382126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E207-4039-8A88-11ECFC0B6FB8}"/>
                </c:ext>
              </c:extLst>
            </c:dLbl>
            <c:dLbl>
              <c:idx val="5"/>
              <c:layout>
                <c:manualLayout>
                  <c:x val="1.0157575068459404E-3"/>
                  <c:y val="-0.13045051413461098"/>
                </c:manualLayout>
              </c:layout>
              <c:tx>
                <c:rich>
                  <a:bodyPr/>
                  <a:lstStyle/>
                  <a:p>
                    <a:fld id="{67AD2954-A967-45E7-84C5-6977356F574E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 dirty="0"/>
                      <a:t>
</a:t>
                    </a:r>
                    <a:fld id="{2D391E72-B14F-451D-AFF0-705284B974F0}" type="PERCENTAGE"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[百分比]</a:t>
                    </a:fld>
                    <a:endParaRPr lang="zh-TW" altLang="en-US" baseline="0" dirty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E207-4039-8A88-11ECFC0B6FB8}"/>
                </c:ext>
              </c:extLst>
            </c:dLbl>
            <c:dLbl>
              <c:idx val="6"/>
              <c:layout>
                <c:manualLayout>
                  <c:x val="0.15903874195212778"/>
                  <c:y val="-6.83825186671610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46723646723647"/>
                      <c:h val="0.178929046611555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E207-4039-8A88-11ECFC0B6FB8}"/>
                </c:ext>
              </c:extLst>
            </c:dLbl>
            <c:dLbl>
              <c:idx val="7"/>
              <c:layout>
                <c:manualLayout>
                  <c:x val="0.21751216995311484"/>
                  <c:y val="-0.1323349401269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207-4039-8A88-11ECFC0B6FB8}"/>
                </c:ext>
              </c:extLst>
            </c:dLbl>
            <c:dLbl>
              <c:idx val="8"/>
              <c:layout>
                <c:manualLayout>
                  <c:x val="0.31374610225003924"/>
                  <c:y val="-9.1638129721319456E-4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 vertOverflow="overflow" horzOverflow="overflow">
                  <a:spAutoFit/>
                </a:bodyPr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207-4039-8A88-11ECFC0B6FB8}"/>
                </c:ext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 vertOverflow="overflow" horzOverflow="overflow"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Sheet1!$B$1:$J$1</c:f>
              <c:strCache>
                <c:ptCount val="9"/>
                <c:pt idx="0">
                  <c:v>流動負債</c:v>
                </c:pt>
                <c:pt idx="1">
                  <c:v>存款、匯款及金融債券</c:v>
                </c:pt>
                <c:pt idx="2">
                  <c:v>其他負債</c:v>
                </c:pt>
                <c:pt idx="3">
                  <c:v>資本</c:v>
                </c:pt>
                <c:pt idx="4">
                  <c:v>保留盈餘</c:v>
                </c:pt>
                <c:pt idx="5">
                  <c:v>央行及同業融資與長期負債</c:v>
                </c:pt>
                <c:pt idx="6">
                  <c:v>首次採用國際財務報導準則調整數</c:v>
                </c:pt>
                <c:pt idx="7">
                  <c:v>資本公積</c:v>
                </c:pt>
                <c:pt idx="8">
                  <c:v>累積其他綜合損益及非控制權益</c:v>
                </c:pt>
              </c:strCache>
            </c:strRef>
          </c:cat>
          <c:val>
            <c:numRef>
              <c:f>Sheet1!$B$2:$J$2</c:f>
              <c:numCache>
                <c:formatCode>#,##0.00_ </c:formatCode>
                <c:ptCount val="9"/>
                <c:pt idx="0">
                  <c:v>16265622374675.9</c:v>
                </c:pt>
                <c:pt idx="1">
                  <c:v>13289768445728.1</c:v>
                </c:pt>
                <c:pt idx="2">
                  <c:v>3303270018360.23</c:v>
                </c:pt>
                <c:pt idx="3">
                  <c:v>1337640520472.5901</c:v>
                </c:pt>
                <c:pt idx="4">
                  <c:v>1122919661318.1001</c:v>
                </c:pt>
                <c:pt idx="5">
                  <c:v>1023380143837.09</c:v>
                </c:pt>
                <c:pt idx="6">
                  <c:v>978341380821.73999</c:v>
                </c:pt>
                <c:pt idx="7">
                  <c:v>221050557143.17001</c:v>
                </c:pt>
                <c:pt idx="8">
                  <c:v>149682661510.57999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207-4039-8A88-11ECFC0B6F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9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575" b="0" i="0" u="none" strike="noStrike" baseline="0" dirty="0">
                <a:solidFill>
                  <a:srgbClr val="000000"/>
                </a:solidFill>
                <a:latin typeface="標楷體"/>
                <a:ea typeface="標楷體"/>
              </a:rPr>
              <a:t>資    </a:t>
            </a:r>
            <a:r>
              <a:rPr lang="zh-TW" altLang="en-US" sz="1575" b="0" i="0" u="none" strike="noStrike" baseline="0" dirty="0" smtClean="0">
                <a:solidFill>
                  <a:srgbClr val="000000"/>
                </a:solidFill>
                <a:latin typeface="標楷體"/>
                <a:ea typeface="標楷體"/>
              </a:rPr>
              <a:t>產</a:t>
            </a:r>
            <a:r>
              <a:rPr lang="en-US" altLang="zh-TW" sz="1575" b="0" i="0" u="none" strike="noStrike" baseline="0" dirty="0" smtClean="0">
                <a:solidFill>
                  <a:srgbClr val="000000"/>
                </a:solidFill>
                <a:latin typeface="標楷體"/>
                <a:ea typeface="標楷體"/>
              </a:rPr>
              <a:t>(</a:t>
            </a:r>
            <a:r>
              <a:rPr lang="en-US" altLang="zh-TW" sz="1575" b="0" i="0" u="none" strike="noStrike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37</a:t>
            </a:r>
            <a:r>
              <a:rPr lang="zh-TW" altLang="en-US" sz="1575" b="0" i="0" u="none" strike="noStrike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兆</a:t>
            </a:r>
            <a:r>
              <a:rPr lang="en-US" altLang="zh-TW" sz="1575" b="0" i="0" u="none" strike="noStrike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6,917</a:t>
            </a:r>
            <a:r>
              <a:rPr lang="zh-TW" altLang="en-US" sz="1575" b="0" i="0" u="none" strike="noStrike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億元</a:t>
            </a:r>
            <a:r>
              <a:rPr lang="en-US" altLang="zh-TW" sz="1575" b="0" i="0" u="none" strike="noStrike" baseline="0" dirty="0" smtClean="0">
                <a:solidFill>
                  <a:srgbClr val="000000"/>
                </a:solidFill>
                <a:latin typeface="標楷體"/>
                <a:ea typeface="標楷體"/>
              </a:rPr>
              <a:t>)</a:t>
            </a:r>
            <a:endParaRPr lang="zh-TW" altLang="en-US" sz="1575" b="0" i="0" u="none" strike="noStrike" baseline="0" dirty="0">
              <a:solidFill>
                <a:srgbClr val="000000"/>
              </a:solidFill>
              <a:latin typeface="標楷體"/>
              <a:ea typeface="標楷體"/>
            </a:endParaRPr>
          </a:p>
        </c:rich>
      </c:tx>
      <c:layout>
        <c:manualLayout>
          <c:xMode val="edge"/>
          <c:yMode val="edge"/>
          <c:x val="0.26613536392872905"/>
          <c:y val="6.2077899177331516E-3"/>
        </c:manualLayout>
      </c:layout>
      <c:overlay val="0"/>
      <c:spPr>
        <a:noFill/>
        <a:ln w="25401">
          <a:noFill/>
        </a:ln>
      </c:spPr>
    </c:title>
    <c:autoTitleDeleted val="0"/>
    <c:view3D>
      <c:rotX val="35"/>
      <c:rotY val="35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333920131733966"/>
          <c:y val="0.2707182919964462"/>
          <c:w val="0.60056259865263806"/>
          <c:h val="0.70224745162668623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E45-4EFA-AFDA-4DB8D67B0D75}"/>
              </c:ext>
            </c:extLst>
          </c:dPt>
          <c:dPt>
            <c:idx val="1"/>
            <c:bubble3D val="0"/>
            <c:spPr>
              <a:solidFill>
                <a:srgbClr val="80206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E45-4EFA-AFDA-4DB8D67B0D75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E45-4EFA-AFDA-4DB8D67B0D75}"/>
              </c:ext>
            </c:extLst>
          </c:dPt>
          <c:dPt>
            <c:idx val="3"/>
            <c:bubble3D val="0"/>
            <c:explosion val="6"/>
            <c:spPr>
              <a:solidFill>
                <a:srgbClr val="C0C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E45-4EFA-AFDA-4DB8D67B0D75}"/>
              </c:ext>
            </c:extLst>
          </c:dPt>
          <c:dPt>
            <c:idx val="4"/>
            <c:bubble3D val="0"/>
            <c:explosion val="9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E45-4EFA-AFDA-4DB8D67B0D75}"/>
              </c:ext>
            </c:extLst>
          </c:dPt>
          <c:dPt>
            <c:idx val="5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E45-4EFA-AFDA-4DB8D67B0D75}"/>
              </c:ext>
            </c:extLst>
          </c:dPt>
          <c:dLbls>
            <c:dLbl>
              <c:idx val="0"/>
              <c:layout>
                <c:manualLayout>
                  <c:x val="-1.828243432187799E-2"/>
                  <c:y val="-3.419240101284568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000" b="0" i="0" u="none" strike="noStrike" baseline="0" dirty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基金、投資及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000" b="0" i="0" u="none" strike="noStrike" baseline="0" dirty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長期應收款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000" b="0" i="0" u="none" strike="noStrike" baseline="0" dirty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48.7%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45-4EFA-AFDA-4DB8D67B0D75}"/>
                </c:ext>
              </c:extLst>
            </c:dLbl>
            <c:dLbl>
              <c:idx val="1"/>
              <c:layout>
                <c:manualLayout>
                  <c:x val="-6.17498442191129E-2"/>
                  <c:y val="-5.655320216755851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流動資產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25.6%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45-4EFA-AFDA-4DB8D67B0D75}"/>
                </c:ext>
              </c:extLst>
            </c:dLbl>
            <c:dLbl>
              <c:idx val="2"/>
              <c:layout>
                <c:manualLayout>
                  <c:x val="-6.6492947374384177E-3"/>
                  <c:y val="3.54847504527049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押匯貼現及放款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13.3%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45-4EFA-AFDA-4DB8D67B0D75}"/>
                </c:ext>
              </c:extLst>
            </c:dLbl>
            <c:dLbl>
              <c:idx val="3"/>
              <c:layout>
                <c:manualLayout>
                  <c:x val="0.11167211790833834"/>
                  <c:y val="-5.821807157826201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  <a:cs typeface="標楷體"/>
                      </a:defRPr>
                    </a:pPr>
                    <a:r>
                      <a:rPr lang="zh-TW" altLang="en-US" sz="1000" baseline="0"/>
                      <a:t>無形資產、生物資產及其他資產
</a:t>
                    </a:r>
                    <a:r>
                      <a:rPr lang="en-US" altLang="zh-TW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1.2%</a:t>
                    </a:r>
                  </a:p>
                </c:rich>
              </c:tx>
              <c:numFmt formatCode="0.0%" sourceLinked="0"/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E45-4EFA-AFDA-4DB8D67B0D75}"/>
                </c:ext>
              </c:extLst>
            </c:dLbl>
            <c:dLbl>
              <c:idx val="4"/>
              <c:layout>
                <c:manualLayout>
                  <c:x val="0.22871991845297013"/>
                  <c:y val="-2.686972151403710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  <a:cs typeface="標楷體"/>
                      </a:defRPr>
                    </a:pPr>
                    <a:r>
                      <a:rPr lang="zh-TW" altLang="en-US" sz="1000" baseline="0"/>
                      <a:t>投資性不動產
</a:t>
                    </a:r>
                    <a:r>
                      <a:rPr lang="en-US" altLang="zh-TW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1.2%</a:t>
                    </a:r>
                  </a:p>
                </c:rich>
              </c:tx>
              <c:numFmt formatCode="0.0%" sourceLinked="0"/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E45-4EFA-AFDA-4DB8D67B0D75}"/>
                </c:ext>
              </c:extLst>
            </c:dLbl>
            <c:dLbl>
              <c:idx val="5"/>
              <c:layout>
                <c:manualLayout>
                  <c:x val="-0.16046934267389706"/>
                  <c:y val="7.400630756727685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不動產、廠房及設備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10%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49305914621836"/>
                      <c:h val="0.139534778783024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9E45-4EFA-AFDA-4DB8D67B0D75}"/>
                </c:ext>
              </c:extLst>
            </c:dLbl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基金、投資及長期應收款</c:v>
                </c:pt>
                <c:pt idx="1">
                  <c:v>流動資產</c:v>
                </c:pt>
                <c:pt idx="2">
                  <c:v>押匯貼現及放款</c:v>
                </c:pt>
                <c:pt idx="3">
                  <c:v>不動產、廠房及設備</c:v>
                </c:pt>
                <c:pt idx="4">
                  <c:v>無形資產、生物資產及其他資產</c:v>
                </c:pt>
                <c:pt idx="5">
                  <c:v>投資性不動產</c:v>
                </c:pt>
              </c:strCache>
            </c:strRef>
          </c:cat>
          <c:val>
            <c:numRef>
              <c:f>Sheet1!$B$2:$G$2</c:f>
              <c:numCache>
                <c:formatCode>#,##0.00_ </c:formatCode>
                <c:ptCount val="6"/>
                <c:pt idx="0">
                  <c:v>18361888848408.301</c:v>
                </c:pt>
                <c:pt idx="1">
                  <c:v>9661280032510.9395</c:v>
                </c:pt>
                <c:pt idx="2">
                  <c:v>5013601462471.1504</c:v>
                </c:pt>
                <c:pt idx="3">
                  <c:v>3761282132816.5601</c:v>
                </c:pt>
                <c:pt idx="4">
                  <c:v>454004944278.90997</c:v>
                </c:pt>
                <c:pt idx="5">
                  <c:v>439618343381.62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E45-4EFA-AFDA-4DB8D67B0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575" b="0" i="0" u="none" strike="noStrike" baseline="0" dirty="0">
                <a:solidFill>
                  <a:srgbClr val="000000"/>
                </a:solidFill>
                <a:latin typeface="標楷體"/>
                <a:ea typeface="標楷體"/>
              </a:rPr>
              <a:t>資    </a:t>
            </a:r>
            <a:r>
              <a:rPr lang="zh-TW" altLang="en-US" sz="1575" b="0" i="0" u="none" strike="noStrike" baseline="0" dirty="0" smtClean="0">
                <a:solidFill>
                  <a:srgbClr val="000000"/>
                </a:solidFill>
                <a:latin typeface="標楷體"/>
                <a:ea typeface="標楷體"/>
              </a:rPr>
              <a:t>產</a:t>
            </a:r>
            <a:r>
              <a:rPr lang="en-US" altLang="zh-TW" sz="1575" b="0" i="0" u="none" strike="noStrike" baseline="0" dirty="0" smtClean="0">
                <a:solidFill>
                  <a:srgbClr val="000000"/>
                </a:solidFill>
                <a:latin typeface="標楷體"/>
                <a:ea typeface="標楷體"/>
              </a:rPr>
              <a:t>(</a:t>
            </a:r>
            <a:r>
              <a:rPr lang="en-US" altLang="zh-TW" sz="1575" b="0" i="0" u="none" strike="noStrike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37</a:t>
            </a:r>
            <a:r>
              <a:rPr lang="zh-TW" altLang="en-US" sz="1575" b="0" i="0" u="none" strike="noStrike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兆</a:t>
            </a:r>
            <a:r>
              <a:rPr lang="en-US" altLang="zh-TW" sz="1575" b="0" i="0" u="none" strike="noStrike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6,917</a:t>
            </a:r>
            <a:r>
              <a:rPr lang="zh-TW" altLang="en-US" sz="1575" b="0" i="0" u="none" strike="noStrike" baseline="0" dirty="0" smtClean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rPr>
              <a:t>億元</a:t>
            </a:r>
            <a:r>
              <a:rPr lang="en-US" altLang="zh-TW" sz="1575" b="0" i="0" u="none" strike="noStrike" baseline="0" dirty="0" smtClean="0">
                <a:solidFill>
                  <a:srgbClr val="000000"/>
                </a:solidFill>
                <a:latin typeface="標楷體"/>
                <a:ea typeface="標楷體"/>
              </a:rPr>
              <a:t>)</a:t>
            </a:r>
            <a:endParaRPr lang="zh-TW" altLang="en-US" sz="1575" b="0" i="0" u="none" strike="noStrike" baseline="0" dirty="0">
              <a:solidFill>
                <a:srgbClr val="000000"/>
              </a:solidFill>
              <a:latin typeface="標楷體"/>
              <a:ea typeface="標楷體"/>
            </a:endParaRPr>
          </a:p>
        </c:rich>
      </c:tx>
      <c:layout>
        <c:manualLayout>
          <c:xMode val="edge"/>
          <c:yMode val="edge"/>
          <c:x val="0.26613536392872905"/>
          <c:y val="6.2077899177331516E-3"/>
        </c:manualLayout>
      </c:layout>
      <c:overlay val="0"/>
      <c:spPr>
        <a:noFill/>
        <a:ln w="25401">
          <a:noFill/>
        </a:ln>
      </c:spPr>
    </c:title>
    <c:autoTitleDeleted val="0"/>
    <c:view3D>
      <c:rotX val="35"/>
      <c:rotY val="35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333920131733966"/>
          <c:y val="0.2707182919964462"/>
          <c:w val="0.60056259865263806"/>
          <c:h val="0.70224745162668623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E45-4EFA-AFDA-4DB8D67B0D75}"/>
              </c:ext>
            </c:extLst>
          </c:dPt>
          <c:dPt>
            <c:idx val="1"/>
            <c:bubble3D val="0"/>
            <c:spPr>
              <a:solidFill>
                <a:srgbClr val="80206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E45-4EFA-AFDA-4DB8D67B0D75}"/>
              </c:ext>
            </c:extLst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E45-4EFA-AFDA-4DB8D67B0D75}"/>
              </c:ext>
            </c:extLst>
          </c:dPt>
          <c:dPt>
            <c:idx val="3"/>
            <c:bubble3D val="0"/>
            <c:explosion val="6"/>
            <c:spPr>
              <a:solidFill>
                <a:srgbClr val="C0C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E45-4EFA-AFDA-4DB8D67B0D75}"/>
              </c:ext>
            </c:extLst>
          </c:dPt>
          <c:dPt>
            <c:idx val="4"/>
            <c:bubble3D val="0"/>
            <c:explosion val="9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E45-4EFA-AFDA-4DB8D67B0D75}"/>
              </c:ext>
            </c:extLst>
          </c:dPt>
          <c:dPt>
            <c:idx val="5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E45-4EFA-AFDA-4DB8D67B0D75}"/>
              </c:ext>
            </c:extLst>
          </c:dPt>
          <c:dLbls>
            <c:dLbl>
              <c:idx val="0"/>
              <c:layout>
                <c:manualLayout>
                  <c:x val="-1.828243432187799E-2"/>
                  <c:y val="-3.419240101284568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000" b="0" i="0" u="none" strike="noStrike" baseline="0" dirty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基金、投資及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000" b="0" i="0" u="none" strike="noStrike" baseline="0" dirty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長期應收款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000" b="0" i="0" u="none" strike="noStrike" baseline="0" dirty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48.7%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45-4EFA-AFDA-4DB8D67B0D75}"/>
                </c:ext>
              </c:extLst>
            </c:dLbl>
            <c:dLbl>
              <c:idx val="1"/>
              <c:layout>
                <c:manualLayout>
                  <c:x val="-6.17498442191129E-2"/>
                  <c:y val="-5.655320216755851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流動資產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25.6%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45-4EFA-AFDA-4DB8D67B0D75}"/>
                </c:ext>
              </c:extLst>
            </c:dLbl>
            <c:dLbl>
              <c:idx val="2"/>
              <c:layout>
                <c:manualLayout>
                  <c:x val="-6.6492947374384177E-3"/>
                  <c:y val="3.54847504527049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押匯貼現及放款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13.3%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45-4EFA-AFDA-4DB8D67B0D75}"/>
                </c:ext>
              </c:extLst>
            </c:dLbl>
            <c:dLbl>
              <c:idx val="3"/>
              <c:layout>
                <c:manualLayout>
                  <c:x val="0.11167211790833834"/>
                  <c:y val="-5.821807157826201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  <a:cs typeface="標楷體"/>
                      </a:defRPr>
                    </a:pPr>
                    <a:r>
                      <a:rPr lang="zh-TW" altLang="en-US" sz="1000" baseline="0"/>
                      <a:t>無形資產、生物資產及其他資產
</a:t>
                    </a:r>
                    <a:r>
                      <a:rPr lang="en-US" altLang="zh-TW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1.2%</a:t>
                    </a:r>
                  </a:p>
                </c:rich>
              </c:tx>
              <c:numFmt formatCode="0.0%" sourceLinked="0"/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E45-4EFA-AFDA-4DB8D67B0D75}"/>
                </c:ext>
              </c:extLst>
            </c:dLbl>
            <c:dLbl>
              <c:idx val="4"/>
              <c:layout>
                <c:manualLayout>
                  <c:x val="0.22871991845297013"/>
                  <c:y val="-2.686972151403710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  <a:cs typeface="標楷體"/>
                      </a:defRPr>
                    </a:pPr>
                    <a:r>
                      <a:rPr lang="zh-TW" altLang="en-US" sz="1000" baseline="0"/>
                      <a:t>投資性不動產
</a:t>
                    </a:r>
                    <a:r>
                      <a:rPr lang="en-US" altLang="zh-TW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1.2%</a:t>
                    </a:r>
                  </a:p>
                </c:rich>
              </c:tx>
              <c:numFmt formatCode="0.0%" sourceLinked="0"/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E45-4EFA-AFDA-4DB8D67B0D75}"/>
                </c:ext>
              </c:extLst>
            </c:dLbl>
            <c:dLbl>
              <c:idx val="5"/>
              <c:layout>
                <c:manualLayout>
                  <c:x val="-0.16046934267389706"/>
                  <c:y val="7.400630756727685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不動產、廠房及設備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10%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49305914621836"/>
                      <c:h val="0.139534778783024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9E45-4EFA-AFDA-4DB8D67B0D75}"/>
                </c:ext>
              </c:extLst>
            </c:dLbl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基金、投資及長期應收款</c:v>
                </c:pt>
                <c:pt idx="1">
                  <c:v>流動資產</c:v>
                </c:pt>
                <c:pt idx="2">
                  <c:v>押匯貼現及放款</c:v>
                </c:pt>
                <c:pt idx="3">
                  <c:v>不動產、廠房及設備</c:v>
                </c:pt>
                <c:pt idx="4">
                  <c:v>無形資產、生物資產及其他資產</c:v>
                </c:pt>
                <c:pt idx="5">
                  <c:v>投資性不動產</c:v>
                </c:pt>
              </c:strCache>
            </c:strRef>
          </c:cat>
          <c:val>
            <c:numRef>
              <c:f>Sheet1!$B$2:$G$2</c:f>
              <c:numCache>
                <c:formatCode>#,##0.00_ </c:formatCode>
                <c:ptCount val="6"/>
                <c:pt idx="0">
                  <c:v>18361888848408.301</c:v>
                </c:pt>
                <c:pt idx="1">
                  <c:v>9661280032510.9395</c:v>
                </c:pt>
                <c:pt idx="2">
                  <c:v>5013601462471.1504</c:v>
                </c:pt>
                <c:pt idx="3">
                  <c:v>3761282132816.5601</c:v>
                </c:pt>
                <c:pt idx="4">
                  <c:v>454004944278.90997</c:v>
                </c:pt>
                <c:pt idx="5">
                  <c:v>439618343381.62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E45-4EFA-AFDA-4DB8D67B0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80"/>
            </a:pPr>
            <a:r>
              <a:rPr lang="zh-TW" sz="1580"/>
              <a:t>負債及權益</a:t>
            </a:r>
          </a:p>
        </c:rich>
      </c:tx>
      <c:layout>
        <c:manualLayout>
          <c:xMode val="edge"/>
          <c:yMode val="edge"/>
          <c:x val="0.36791228610390181"/>
          <c:y val="5.0283899351139826E-2"/>
        </c:manualLayout>
      </c:layout>
      <c:overlay val="0"/>
      <c:spPr>
        <a:noFill/>
        <a:ln w="25399">
          <a:noFill/>
        </a:ln>
      </c:spPr>
    </c:title>
    <c:autoTitleDeleted val="0"/>
    <c:view3D>
      <c:rotX val="35"/>
      <c:rotY val="35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17223198594024"/>
          <c:y val="0.31527093596059114"/>
          <c:w val="0.70650263620386644"/>
          <c:h val="0.6847290640394089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新細明體"/>
          <a:ea typeface="標楷體" panose="03000509000000000000" pitchFamily="65" charset="-120"/>
          <a:cs typeface="新細明體"/>
        </a:defRPr>
      </a:pPr>
      <a:endParaRPr lang="zh-TW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0.17521</cdr:x>
      <cdr:y>0.30471</cdr:y>
    </cdr:from>
    <cdr:to>
      <cdr:x>0.34392</cdr:x>
      <cdr:y>0.38981</cdr:y>
    </cdr:to>
    <cdr:cxnSp macro="">
      <cdr:nvCxnSpPr>
        <cdr:cNvPr id="3" name="直線接點 2"/>
        <cdr:cNvCxnSpPr/>
      </cdr:nvCxnSpPr>
      <cdr:spPr>
        <a:xfrm xmlns:a="http://schemas.openxmlformats.org/drawingml/2006/main">
          <a:off x="781050" y="1047750"/>
          <a:ext cx="752042" cy="29262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0.31688</cdr:x>
      <cdr:y>0.24383</cdr:y>
    </cdr:from>
    <cdr:to>
      <cdr:x>0.39766</cdr:x>
      <cdr:y>0.37081</cdr:y>
    </cdr:to>
    <cdr:cxnSp macro="">
      <cdr:nvCxnSpPr>
        <cdr:cNvPr id="5" name="直線接點 4"/>
        <cdr:cNvCxnSpPr/>
      </cdr:nvCxnSpPr>
      <cdr:spPr>
        <a:xfrm xmlns:a="http://schemas.openxmlformats.org/drawingml/2006/main">
          <a:off x="1412557" y="838418"/>
          <a:ext cx="360093" cy="43662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0.50047</cdr:x>
      <cdr:y>0.31579</cdr:y>
    </cdr:from>
    <cdr:to>
      <cdr:x>0.73077</cdr:x>
      <cdr:y>0.35356</cdr:y>
    </cdr:to>
    <cdr:cxnSp macro="">
      <cdr:nvCxnSpPr>
        <cdr:cNvPr id="8" name="直線接點 7"/>
        <cdr:cNvCxnSpPr/>
      </cdr:nvCxnSpPr>
      <cdr:spPr>
        <a:xfrm xmlns:a="http://schemas.openxmlformats.org/drawingml/2006/main" flipV="1">
          <a:off x="2230931" y="1085850"/>
          <a:ext cx="1026619" cy="12987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0.47883</cdr:x>
      <cdr:y>0.21607</cdr:y>
    </cdr:from>
    <cdr:to>
      <cdr:x>0.6453</cdr:x>
      <cdr:y>0.35855</cdr:y>
    </cdr:to>
    <cdr:cxnSp macro="">
      <cdr:nvCxnSpPr>
        <cdr:cNvPr id="13" name="直線接點 12"/>
        <cdr:cNvCxnSpPr/>
      </cdr:nvCxnSpPr>
      <cdr:spPr>
        <a:xfrm xmlns:a="http://schemas.openxmlformats.org/drawingml/2006/main" flipV="1">
          <a:off x="2134495" y="742950"/>
          <a:ext cx="742055" cy="48993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0.44854</cdr:x>
      <cdr:y>0.26904</cdr:y>
    </cdr:from>
    <cdr:to>
      <cdr:x>0.45454</cdr:x>
      <cdr:y>0.36292</cdr:y>
    </cdr:to>
    <cdr:cxnSp macro="">
      <cdr:nvCxnSpPr>
        <cdr:cNvPr id="20" name="直線接點 19"/>
        <cdr:cNvCxnSpPr/>
      </cdr:nvCxnSpPr>
      <cdr:spPr>
        <a:xfrm xmlns:a="http://schemas.openxmlformats.org/drawingml/2006/main" flipV="1">
          <a:off x="1999471" y="925103"/>
          <a:ext cx="26746" cy="32280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0.17521</cdr:x>
      <cdr:y>0.30471</cdr:y>
    </cdr:from>
    <cdr:to>
      <cdr:x>0.34392</cdr:x>
      <cdr:y>0.38981</cdr:y>
    </cdr:to>
    <cdr:cxnSp macro="">
      <cdr:nvCxnSpPr>
        <cdr:cNvPr id="3" name="直線接點 2"/>
        <cdr:cNvCxnSpPr/>
      </cdr:nvCxnSpPr>
      <cdr:spPr>
        <a:xfrm xmlns:a="http://schemas.openxmlformats.org/drawingml/2006/main">
          <a:off x="781050" y="1047750"/>
          <a:ext cx="752042" cy="29262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0.31688</cdr:x>
      <cdr:y>0.24383</cdr:y>
    </cdr:from>
    <cdr:to>
      <cdr:x>0.39766</cdr:x>
      <cdr:y>0.37081</cdr:y>
    </cdr:to>
    <cdr:cxnSp macro="">
      <cdr:nvCxnSpPr>
        <cdr:cNvPr id="5" name="直線接點 4"/>
        <cdr:cNvCxnSpPr/>
      </cdr:nvCxnSpPr>
      <cdr:spPr>
        <a:xfrm xmlns:a="http://schemas.openxmlformats.org/drawingml/2006/main">
          <a:off x="1412557" y="838418"/>
          <a:ext cx="360093" cy="43662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0.50047</cdr:x>
      <cdr:y>0.31579</cdr:y>
    </cdr:from>
    <cdr:to>
      <cdr:x>0.73077</cdr:x>
      <cdr:y>0.35356</cdr:y>
    </cdr:to>
    <cdr:cxnSp macro="">
      <cdr:nvCxnSpPr>
        <cdr:cNvPr id="8" name="直線接點 7"/>
        <cdr:cNvCxnSpPr/>
      </cdr:nvCxnSpPr>
      <cdr:spPr>
        <a:xfrm xmlns:a="http://schemas.openxmlformats.org/drawingml/2006/main" flipV="1">
          <a:off x="2230931" y="1085850"/>
          <a:ext cx="1026619" cy="12987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0.47883</cdr:x>
      <cdr:y>0.21607</cdr:y>
    </cdr:from>
    <cdr:to>
      <cdr:x>0.6453</cdr:x>
      <cdr:y>0.35855</cdr:y>
    </cdr:to>
    <cdr:cxnSp macro="">
      <cdr:nvCxnSpPr>
        <cdr:cNvPr id="13" name="直線接點 12"/>
        <cdr:cNvCxnSpPr/>
      </cdr:nvCxnSpPr>
      <cdr:spPr>
        <a:xfrm xmlns:a="http://schemas.openxmlformats.org/drawingml/2006/main" flipV="1">
          <a:off x="2134495" y="742950"/>
          <a:ext cx="742055" cy="48993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0.44854</cdr:x>
      <cdr:y>0.26904</cdr:y>
    </cdr:from>
    <cdr:to>
      <cdr:x>0.45454</cdr:x>
      <cdr:y>0.36292</cdr:y>
    </cdr:to>
    <cdr:cxnSp macro="">
      <cdr:nvCxnSpPr>
        <cdr:cNvPr id="20" name="直線接點 19"/>
        <cdr:cNvCxnSpPr/>
      </cdr:nvCxnSpPr>
      <cdr:spPr>
        <a:xfrm xmlns:a="http://schemas.openxmlformats.org/drawingml/2006/main" flipV="1">
          <a:off x="1999471" y="925103"/>
          <a:ext cx="26746" cy="32280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0.44701</cdr:x>
      <cdr:y>0.28589</cdr:y>
    </cdr:from>
    <cdr:to>
      <cdr:x>0.50094</cdr:x>
      <cdr:y>0.32092</cdr:y>
    </cdr:to>
    <cdr:cxnSp macro="">
      <cdr:nvCxnSpPr>
        <cdr:cNvPr id="3" name="直線接點 2"/>
        <cdr:cNvCxnSpPr/>
      </cdr:nvCxnSpPr>
      <cdr:spPr>
        <a:xfrm xmlns:a="http://schemas.openxmlformats.org/drawingml/2006/main">
          <a:off x="2269392" y="950363"/>
          <a:ext cx="273783" cy="11643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0.52533</cdr:x>
      <cdr:y>0.29142</cdr:y>
    </cdr:from>
    <cdr:to>
      <cdr:x>0.60349</cdr:x>
      <cdr:y>0.34384</cdr:y>
    </cdr:to>
    <cdr:cxnSp macro="">
      <cdr:nvCxnSpPr>
        <cdr:cNvPr id="5" name="直線接點 4"/>
        <cdr:cNvCxnSpPr/>
      </cdr:nvCxnSpPr>
      <cdr:spPr>
        <a:xfrm xmlns:a="http://schemas.openxmlformats.org/drawingml/2006/main" flipH="1">
          <a:off x="2667000" y="968746"/>
          <a:ext cx="396814" cy="17425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0.44701</cdr:x>
      <cdr:y>0.28589</cdr:y>
    </cdr:from>
    <cdr:to>
      <cdr:x>0.50094</cdr:x>
      <cdr:y>0.32092</cdr:y>
    </cdr:to>
    <cdr:cxnSp macro="">
      <cdr:nvCxnSpPr>
        <cdr:cNvPr id="3" name="直線接點 2"/>
        <cdr:cNvCxnSpPr/>
      </cdr:nvCxnSpPr>
      <cdr:spPr>
        <a:xfrm xmlns:a="http://schemas.openxmlformats.org/drawingml/2006/main">
          <a:off x="2269392" y="950363"/>
          <a:ext cx="273783" cy="11643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0.52533</cdr:x>
      <cdr:y>0.29142</cdr:y>
    </cdr:from>
    <cdr:to>
      <cdr:x>0.60349</cdr:x>
      <cdr:y>0.34384</cdr:y>
    </cdr:to>
    <cdr:cxnSp macro="">
      <cdr:nvCxnSpPr>
        <cdr:cNvPr id="5" name="直線接點 4"/>
        <cdr:cNvCxnSpPr/>
      </cdr:nvCxnSpPr>
      <cdr:spPr>
        <a:xfrm xmlns:a="http://schemas.openxmlformats.org/drawingml/2006/main" flipH="1">
          <a:off x="2667000" y="968746"/>
          <a:ext cx="396814" cy="17425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32E8-A17B-4839-999B-D8DB1660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87總說明2</Template>
  <TotalTime>549</TotalTime>
  <Pages>5</Pages>
  <Words>293</Words>
  <Characters>1676</Characters>
  <Application>Microsoft Office Word</Application>
  <DocSecurity>0</DocSecurity>
  <Lines>13</Lines>
  <Paragraphs>3</Paragraphs>
  <ScaleCrop>false</ScaleCrop>
  <Company>會計小組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甲、總說明</dc:title>
  <dc:subject/>
  <dc:creator>行政院主計處</dc:creator>
  <cp:keywords/>
  <cp:lastModifiedBy>會計決算處基金會計科楊惠萍</cp:lastModifiedBy>
  <cp:revision>109</cp:revision>
  <cp:lastPrinted>2019-08-19T07:56:00Z</cp:lastPrinted>
  <dcterms:created xsi:type="dcterms:W3CDTF">2018-08-16T09:31:00Z</dcterms:created>
  <dcterms:modified xsi:type="dcterms:W3CDTF">2019-08-19T07:57:00Z</dcterms:modified>
</cp:coreProperties>
</file>