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0B2" w:rsidRPr="00416CD9" w:rsidRDefault="000540B2" w:rsidP="000540B2">
      <w:pPr>
        <w:pStyle w:val="1"/>
        <w:spacing w:after="240" w:line="520" w:lineRule="exact"/>
        <w:ind w:left="0" w:firstLine="0"/>
        <w:jc w:val="center"/>
        <w:textDirection w:val="lrTb"/>
        <w:rPr>
          <w:rFonts w:eastAsia="標楷體"/>
          <w:bCs/>
          <w:color w:val="000000"/>
          <w:kern w:val="0"/>
          <w:sz w:val="40"/>
          <w:szCs w:val="40"/>
        </w:rPr>
      </w:pPr>
      <w:r w:rsidRPr="00416CD9">
        <w:rPr>
          <w:rFonts w:eastAsia="標楷體" w:hAnsi="標楷體"/>
          <w:bCs/>
          <w:color w:val="000000"/>
          <w:kern w:val="0"/>
          <w:sz w:val="40"/>
          <w:szCs w:val="40"/>
        </w:rPr>
        <w:t>國營事業長期計畫與年度預算配合作業實施要點</w:t>
      </w:r>
    </w:p>
    <w:p w:rsidR="000540B2" w:rsidRPr="007332B0" w:rsidRDefault="000540B2" w:rsidP="000540B2">
      <w:pPr>
        <w:autoSpaceDE w:val="0"/>
        <w:autoSpaceDN w:val="0"/>
        <w:spacing w:beforeLines="50" w:before="180" w:line="360" w:lineRule="exact"/>
        <w:ind w:leftChars="1331" w:left="3194" w:right="-17"/>
        <w:jc w:val="distribute"/>
        <w:rPr>
          <w:rFonts w:eastAsia="標楷體"/>
          <w:color w:val="000000"/>
          <w:kern w:val="0"/>
          <w:sz w:val="28"/>
          <w:szCs w:val="28"/>
        </w:rPr>
      </w:pPr>
      <w:r w:rsidRPr="007332B0">
        <w:rPr>
          <w:rFonts w:eastAsia="標楷體" w:hAnsi="標楷體"/>
          <w:color w:val="000000"/>
          <w:kern w:val="0"/>
          <w:sz w:val="28"/>
          <w:szCs w:val="28"/>
        </w:rPr>
        <w:t>中</w:t>
      </w:r>
      <w:r w:rsidRPr="007332B0">
        <w:rPr>
          <w:rFonts w:eastAsia="標楷體"/>
          <w:color w:val="000000"/>
          <w:kern w:val="0"/>
          <w:sz w:val="28"/>
          <w:szCs w:val="28"/>
        </w:rPr>
        <w:t xml:space="preserve">  </w:t>
      </w:r>
      <w:r w:rsidRPr="007332B0">
        <w:rPr>
          <w:rFonts w:eastAsia="標楷體" w:hAnsi="標楷體"/>
          <w:color w:val="000000"/>
          <w:kern w:val="0"/>
          <w:sz w:val="28"/>
          <w:szCs w:val="28"/>
        </w:rPr>
        <w:t>華</w:t>
      </w:r>
      <w:r w:rsidRPr="007332B0">
        <w:rPr>
          <w:rFonts w:eastAsia="標楷體"/>
          <w:color w:val="000000"/>
          <w:kern w:val="0"/>
          <w:sz w:val="28"/>
          <w:szCs w:val="28"/>
        </w:rPr>
        <w:t xml:space="preserve">  </w:t>
      </w:r>
      <w:r w:rsidRPr="007332B0">
        <w:rPr>
          <w:rFonts w:eastAsia="標楷體" w:hAnsi="標楷體"/>
          <w:color w:val="000000"/>
          <w:kern w:val="0"/>
          <w:sz w:val="28"/>
          <w:szCs w:val="28"/>
        </w:rPr>
        <w:t>民</w:t>
      </w:r>
      <w:r w:rsidRPr="007332B0">
        <w:rPr>
          <w:rFonts w:eastAsia="標楷體"/>
          <w:color w:val="000000"/>
          <w:kern w:val="0"/>
          <w:sz w:val="28"/>
          <w:szCs w:val="28"/>
        </w:rPr>
        <w:t xml:space="preserve">  </w:t>
      </w:r>
      <w:r w:rsidRPr="007332B0">
        <w:rPr>
          <w:rFonts w:eastAsia="標楷體" w:hAnsi="標楷體"/>
          <w:color w:val="000000"/>
          <w:kern w:val="0"/>
          <w:sz w:val="28"/>
          <w:szCs w:val="28"/>
        </w:rPr>
        <w:t>國</w:t>
      </w:r>
      <w:r w:rsidRPr="007332B0">
        <w:rPr>
          <w:rFonts w:eastAsia="標楷體"/>
          <w:color w:val="000000"/>
          <w:kern w:val="0"/>
          <w:sz w:val="28"/>
          <w:szCs w:val="28"/>
        </w:rPr>
        <w:t xml:space="preserve">  100  </w:t>
      </w:r>
      <w:r w:rsidRPr="007332B0">
        <w:rPr>
          <w:rFonts w:eastAsia="標楷體" w:hAnsi="標楷體"/>
          <w:color w:val="000000"/>
          <w:kern w:val="0"/>
          <w:sz w:val="28"/>
          <w:szCs w:val="28"/>
        </w:rPr>
        <w:t>年</w:t>
      </w:r>
      <w:r w:rsidRPr="007332B0">
        <w:rPr>
          <w:rFonts w:eastAsia="標楷體"/>
          <w:color w:val="000000"/>
          <w:kern w:val="0"/>
          <w:sz w:val="28"/>
          <w:szCs w:val="28"/>
        </w:rPr>
        <w:t xml:space="preserve">  5  </w:t>
      </w:r>
      <w:r w:rsidRPr="007332B0">
        <w:rPr>
          <w:rFonts w:eastAsia="標楷體" w:hAnsi="標楷體"/>
          <w:color w:val="000000"/>
          <w:kern w:val="0"/>
          <w:sz w:val="28"/>
          <w:szCs w:val="28"/>
        </w:rPr>
        <w:t>月</w:t>
      </w:r>
      <w:r w:rsidRPr="007332B0">
        <w:rPr>
          <w:rFonts w:eastAsia="標楷體"/>
          <w:color w:val="000000"/>
          <w:kern w:val="0"/>
          <w:sz w:val="28"/>
          <w:szCs w:val="28"/>
        </w:rPr>
        <w:t xml:space="preserve">  19  </w:t>
      </w:r>
      <w:r w:rsidRPr="007332B0">
        <w:rPr>
          <w:rFonts w:eastAsia="標楷體" w:hAnsi="標楷體"/>
          <w:color w:val="000000"/>
          <w:kern w:val="0"/>
          <w:sz w:val="28"/>
          <w:szCs w:val="28"/>
        </w:rPr>
        <w:t>日</w:t>
      </w:r>
    </w:p>
    <w:p w:rsidR="000540B2" w:rsidRPr="007332B0" w:rsidRDefault="000540B2" w:rsidP="000540B2">
      <w:pPr>
        <w:tabs>
          <w:tab w:val="left" w:pos="6131"/>
        </w:tabs>
        <w:autoSpaceDE w:val="0"/>
        <w:autoSpaceDN w:val="0"/>
        <w:spacing w:afterLines="50" w:after="180" w:line="360" w:lineRule="exact"/>
        <w:ind w:leftChars="1331" w:left="3194" w:right="-17"/>
        <w:jc w:val="distribute"/>
        <w:rPr>
          <w:rFonts w:eastAsia="標楷體"/>
          <w:color w:val="000000"/>
          <w:kern w:val="0"/>
          <w:sz w:val="28"/>
          <w:szCs w:val="28"/>
        </w:rPr>
      </w:pPr>
      <w:r w:rsidRPr="007332B0">
        <w:rPr>
          <w:rFonts w:eastAsia="標楷體" w:hAnsi="標楷體"/>
          <w:color w:val="000000"/>
          <w:kern w:val="0"/>
          <w:sz w:val="28"/>
          <w:szCs w:val="28"/>
        </w:rPr>
        <w:t>行政院院</w:t>
      </w:r>
      <w:proofErr w:type="gramStart"/>
      <w:r w:rsidRPr="007332B0">
        <w:rPr>
          <w:rFonts w:eastAsia="標楷體" w:hAnsi="標楷體"/>
          <w:color w:val="000000"/>
          <w:kern w:val="0"/>
          <w:sz w:val="28"/>
          <w:szCs w:val="28"/>
        </w:rPr>
        <w:t>授主孝一字</w:t>
      </w:r>
      <w:proofErr w:type="gramEnd"/>
      <w:r w:rsidRPr="007332B0">
        <w:rPr>
          <w:rFonts w:eastAsia="標楷體" w:hAnsi="標楷體"/>
          <w:color w:val="000000"/>
          <w:kern w:val="0"/>
          <w:sz w:val="28"/>
          <w:szCs w:val="28"/>
        </w:rPr>
        <w:t>第</w:t>
      </w:r>
      <w:r w:rsidRPr="007332B0">
        <w:rPr>
          <w:rFonts w:eastAsia="標楷體"/>
          <w:color w:val="000000"/>
          <w:kern w:val="0"/>
          <w:sz w:val="28"/>
          <w:szCs w:val="28"/>
        </w:rPr>
        <w:t>1000003062</w:t>
      </w:r>
      <w:r w:rsidRPr="007332B0">
        <w:rPr>
          <w:rFonts w:eastAsia="標楷體" w:hAnsi="標楷體"/>
          <w:color w:val="000000"/>
          <w:kern w:val="0"/>
          <w:sz w:val="28"/>
          <w:szCs w:val="28"/>
        </w:rPr>
        <w:t>號函修正</w:t>
      </w:r>
    </w:p>
    <w:p w:rsidR="000540B2" w:rsidRPr="007332B0" w:rsidRDefault="000540B2" w:rsidP="000540B2">
      <w:pPr>
        <w:overflowPunct w:val="0"/>
        <w:autoSpaceDE w:val="0"/>
        <w:autoSpaceDN w:val="0"/>
        <w:spacing w:line="520" w:lineRule="exact"/>
        <w:ind w:left="614" w:hangingChars="192" w:hanging="614"/>
        <w:textDirection w:val="lrTbV"/>
        <w:rPr>
          <w:rFonts w:eastAsia="標楷體"/>
          <w:color w:val="000000"/>
          <w:kern w:val="0"/>
          <w:sz w:val="32"/>
          <w:szCs w:val="32"/>
        </w:rPr>
      </w:pPr>
      <w:r w:rsidRPr="007332B0">
        <w:rPr>
          <w:rFonts w:eastAsia="標楷體" w:hAnsi="標楷體"/>
          <w:color w:val="000000"/>
          <w:kern w:val="0"/>
          <w:sz w:val="32"/>
          <w:szCs w:val="32"/>
        </w:rPr>
        <w:t>一、計畫與預算，依其層次，分為下列各種：</w:t>
      </w:r>
    </w:p>
    <w:p w:rsidR="000540B2" w:rsidRPr="007332B0" w:rsidRDefault="000540B2" w:rsidP="000540B2">
      <w:pPr>
        <w:overflowPunct w:val="0"/>
        <w:autoSpaceDE w:val="0"/>
        <w:autoSpaceDN w:val="0"/>
        <w:spacing w:line="520" w:lineRule="exact"/>
        <w:ind w:leftChars="281" w:left="1215" w:hangingChars="169" w:hanging="541"/>
        <w:jc w:val="both"/>
        <w:textDirection w:val="lrTbV"/>
        <w:rPr>
          <w:rFonts w:eastAsia="標楷體"/>
          <w:color w:val="000000"/>
          <w:kern w:val="0"/>
          <w:sz w:val="32"/>
          <w:szCs w:val="32"/>
        </w:rPr>
      </w:pPr>
      <w:r w:rsidRPr="007332B0">
        <w:rPr>
          <w:rFonts w:eastAsia="標楷體"/>
          <w:color w:val="000000"/>
          <w:kern w:val="0"/>
          <w:sz w:val="32"/>
          <w:szCs w:val="32"/>
        </w:rPr>
        <w:t>(</w:t>
      </w:r>
      <w:proofErr w:type="gramStart"/>
      <w:r w:rsidRPr="007332B0">
        <w:rPr>
          <w:rFonts w:eastAsia="標楷體" w:hAnsi="標楷體"/>
          <w:color w:val="000000"/>
          <w:kern w:val="0"/>
          <w:sz w:val="32"/>
          <w:szCs w:val="32"/>
        </w:rPr>
        <w:t>一</w:t>
      </w:r>
      <w:proofErr w:type="gramEnd"/>
      <w:r w:rsidRPr="007332B0">
        <w:rPr>
          <w:rFonts w:eastAsia="標楷體"/>
          <w:color w:val="000000"/>
          <w:kern w:val="0"/>
          <w:sz w:val="32"/>
          <w:szCs w:val="32"/>
        </w:rPr>
        <w:t>)</w:t>
      </w:r>
      <w:r w:rsidRPr="007332B0">
        <w:rPr>
          <w:rFonts w:eastAsia="標楷體" w:hAnsi="標楷體"/>
          <w:color w:val="000000"/>
          <w:kern w:val="0"/>
          <w:sz w:val="32"/>
          <w:szCs w:val="32"/>
        </w:rPr>
        <w:t>長期目標，謂引導事業經營之業務方針。長期目標應針對經濟、顧客、員工、業主等需要及社會責任，作成書面表達，為擬訂次級目的之指導原則。</w:t>
      </w:r>
    </w:p>
    <w:p w:rsidR="000540B2" w:rsidRPr="007332B0" w:rsidRDefault="000540B2" w:rsidP="000540B2">
      <w:pPr>
        <w:overflowPunct w:val="0"/>
        <w:autoSpaceDE w:val="0"/>
        <w:autoSpaceDN w:val="0"/>
        <w:spacing w:line="520" w:lineRule="exact"/>
        <w:ind w:leftChars="281" w:left="1215" w:hangingChars="169" w:hanging="541"/>
        <w:jc w:val="both"/>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二</w:t>
      </w:r>
      <w:r w:rsidRPr="007332B0">
        <w:rPr>
          <w:rFonts w:eastAsia="標楷體"/>
          <w:color w:val="000000"/>
          <w:kern w:val="0"/>
          <w:sz w:val="32"/>
          <w:szCs w:val="32"/>
        </w:rPr>
        <w:t>)</w:t>
      </w:r>
      <w:r w:rsidRPr="007332B0">
        <w:rPr>
          <w:rFonts w:eastAsia="標楷體" w:hAnsi="標楷體"/>
          <w:color w:val="000000"/>
          <w:kern w:val="0"/>
          <w:sz w:val="32"/>
          <w:szCs w:val="32"/>
        </w:rPr>
        <w:t>次級目的，謂提供產品勞務之種類與行銷地區之說明，及列舉資金管理，市場佔有，營業成本，投資報酬，利潤邊際，資產週轉等指標者。</w:t>
      </w:r>
    </w:p>
    <w:p w:rsidR="000540B2" w:rsidRPr="007332B0" w:rsidRDefault="000540B2" w:rsidP="000540B2">
      <w:pPr>
        <w:overflowPunct w:val="0"/>
        <w:autoSpaceDE w:val="0"/>
        <w:autoSpaceDN w:val="0"/>
        <w:spacing w:line="520" w:lineRule="exact"/>
        <w:ind w:leftChars="281" w:left="1215" w:hangingChars="169" w:hanging="541"/>
        <w:jc w:val="both"/>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三</w:t>
      </w:r>
      <w:r w:rsidRPr="007332B0">
        <w:rPr>
          <w:rFonts w:eastAsia="標楷體"/>
          <w:color w:val="000000"/>
          <w:kern w:val="0"/>
          <w:sz w:val="32"/>
          <w:szCs w:val="32"/>
        </w:rPr>
        <w:t>)</w:t>
      </w:r>
      <w:r w:rsidRPr="007332B0">
        <w:rPr>
          <w:rFonts w:eastAsia="標楷體" w:hAnsi="標楷體"/>
          <w:color w:val="000000"/>
          <w:kern w:val="0"/>
          <w:sz w:val="32"/>
          <w:szCs w:val="32"/>
        </w:rPr>
        <w:t>基本策略，謂達成長期目標與次級目的所需之主要方略，為擬訂明細政策之準則。基本策略之訂定，應注意專案計畫與長期計畫間之協調配合。</w:t>
      </w:r>
    </w:p>
    <w:p w:rsidR="000540B2" w:rsidRPr="007332B0" w:rsidRDefault="000540B2" w:rsidP="000540B2">
      <w:pPr>
        <w:overflowPunct w:val="0"/>
        <w:autoSpaceDE w:val="0"/>
        <w:autoSpaceDN w:val="0"/>
        <w:spacing w:line="520" w:lineRule="exact"/>
        <w:ind w:leftChars="281" w:left="1215" w:hangingChars="169" w:hanging="541"/>
        <w:jc w:val="both"/>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四</w:t>
      </w:r>
      <w:r w:rsidRPr="007332B0">
        <w:rPr>
          <w:rFonts w:eastAsia="標楷體"/>
          <w:color w:val="000000"/>
          <w:kern w:val="0"/>
          <w:sz w:val="32"/>
          <w:szCs w:val="32"/>
        </w:rPr>
        <w:t>)</w:t>
      </w:r>
      <w:r w:rsidRPr="007332B0">
        <w:rPr>
          <w:rFonts w:eastAsia="標楷體" w:hAnsi="標楷體"/>
          <w:color w:val="000000"/>
          <w:kern w:val="0"/>
          <w:sz w:val="32"/>
          <w:szCs w:val="32"/>
        </w:rPr>
        <w:t>明細政策，謂執行基本策略必需之明細說明。</w:t>
      </w:r>
    </w:p>
    <w:p w:rsidR="000540B2" w:rsidRPr="007332B0" w:rsidRDefault="000540B2" w:rsidP="000540B2">
      <w:pPr>
        <w:overflowPunct w:val="0"/>
        <w:autoSpaceDE w:val="0"/>
        <w:autoSpaceDN w:val="0"/>
        <w:spacing w:line="520" w:lineRule="exact"/>
        <w:ind w:leftChars="281" w:left="1215" w:hangingChars="169" w:hanging="541"/>
        <w:jc w:val="both"/>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五</w:t>
      </w:r>
      <w:r w:rsidRPr="007332B0">
        <w:rPr>
          <w:rFonts w:eastAsia="標楷體"/>
          <w:color w:val="000000"/>
          <w:kern w:val="0"/>
          <w:sz w:val="32"/>
          <w:szCs w:val="32"/>
        </w:rPr>
        <w:t>)</w:t>
      </w:r>
      <w:r w:rsidRPr="007332B0">
        <w:rPr>
          <w:rFonts w:eastAsia="標楷體" w:hAnsi="標楷體"/>
          <w:color w:val="000000"/>
          <w:kern w:val="0"/>
          <w:sz w:val="32"/>
          <w:szCs w:val="32"/>
        </w:rPr>
        <w:t>專案計畫，</w:t>
      </w:r>
      <w:proofErr w:type="gramStart"/>
      <w:r w:rsidRPr="007332B0">
        <w:rPr>
          <w:rFonts w:eastAsia="標楷體" w:hAnsi="標楷體"/>
          <w:color w:val="000000"/>
          <w:kern w:val="0"/>
          <w:sz w:val="32"/>
          <w:szCs w:val="32"/>
        </w:rPr>
        <w:t>謂依長期</w:t>
      </w:r>
      <w:proofErr w:type="gramEnd"/>
      <w:r w:rsidRPr="007332B0">
        <w:rPr>
          <w:rFonts w:eastAsia="標楷體" w:hAnsi="標楷體"/>
          <w:color w:val="000000"/>
          <w:kern w:val="0"/>
          <w:sz w:val="32"/>
          <w:szCs w:val="32"/>
        </w:rPr>
        <w:t>目標，在未來一定期間內，達成一定目標之不同計畫抉擇，及完成一定計畫之不同資源配置，所為之規劃過程與預期結果。如增加新機器，建築新廠房，發展新產品，吸收合併另一企業，推廣產品勞務之利用，擴張銷售地區，推動研究發展等之規劃，並為特定資金之籌措者。</w:t>
      </w:r>
    </w:p>
    <w:p w:rsidR="000540B2" w:rsidRPr="007332B0" w:rsidRDefault="000540B2" w:rsidP="000540B2">
      <w:pPr>
        <w:overflowPunct w:val="0"/>
        <w:autoSpaceDE w:val="0"/>
        <w:autoSpaceDN w:val="0"/>
        <w:spacing w:line="520" w:lineRule="exact"/>
        <w:ind w:leftChars="281" w:left="1215" w:hangingChars="169" w:hanging="541"/>
        <w:jc w:val="both"/>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六</w:t>
      </w:r>
      <w:r w:rsidRPr="007332B0">
        <w:rPr>
          <w:rFonts w:eastAsia="標楷體"/>
          <w:color w:val="000000"/>
          <w:kern w:val="0"/>
          <w:sz w:val="32"/>
          <w:szCs w:val="32"/>
        </w:rPr>
        <w:t>)</w:t>
      </w:r>
      <w:r w:rsidRPr="007332B0">
        <w:rPr>
          <w:rFonts w:eastAsia="標楷體" w:hAnsi="標楷體"/>
          <w:color w:val="000000"/>
          <w:kern w:val="0"/>
          <w:sz w:val="32"/>
          <w:szCs w:val="32"/>
        </w:rPr>
        <w:t>長期計畫，</w:t>
      </w:r>
      <w:proofErr w:type="gramStart"/>
      <w:r w:rsidRPr="007332B0">
        <w:rPr>
          <w:rFonts w:eastAsia="標楷體" w:hAnsi="標楷體"/>
          <w:color w:val="000000"/>
          <w:kern w:val="0"/>
          <w:sz w:val="32"/>
          <w:szCs w:val="32"/>
        </w:rPr>
        <w:t>謂依繼續</w:t>
      </w:r>
      <w:proofErr w:type="gramEnd"/>
      <w:r w:rsidRPr="007332B0">
        <w:rPr>
          <w:rFonts w:eastAsia="標楷體" w:hAnsi="標楷體"/>
          <w:color w:val="000000"/>
          <w:kern w:val="0"/>
          <w:sz w:val="32"/>
          <w:szCs w:val="32"/>
        </w:rPr>
        <w:t>經營需要，所擬訂之銷售、生產、技術、行政等職能之多年計畫及其綜合財務方案。長期計畫得分為中程與長程兩種，其涵蓋之時間，原則上中程計畫為二年至六年，長程計畫為超過六年。</w:t>
      </w:r>
    </w:p>
    <w:p w:rsidR="000540B2" w:rsidRPr="007332B0" w:rsidRDefault="000540B2" w:rsidP="000540B2">
      <w:pPr>
        <w:overflowPunct w:val="0"/>
        <w:autoSpaceDE w:val="0"/>
        <w:autoSpaceDN w:val="0"/>
        <w:spacing w:line="520" w:lineRule="exact"/>
        <w:ind w:leftChars="281" w:left="1215" w:hangingChars="169" w:hanging="541"/>
        <w:jc w:val="both"/>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七</w:t>
      </w:r>
      <w:r w:rsidRPr="007332B0">
        <w:rPr>
          <w:rFonts w:eastAsia="標楷體"/>
          <w:color w:val="000000"/>
          <w:kern w:val="0"/>
          <w:sz w:val="32"/>
          <w:szCs w:val="32"/>
        </w:rPr>
        <w:t>)</w:t>
      </w:r>
      <w:r w:rsidRPr="007332B0">
        <w:rPr>
          <w:rFonts w:eastAsia="標楷體" w:hAnsi="標楷體"/>
          <w:color w:val="000000"/>
          <w:kern w:val="0"/>
          <w:sz w:val="32"/>
          <w:szCs w:val="32"/>
        </w:rPr>
        <w:t>年度計畫與預算，謂以一年為期，達成目標或完成工作各種方法之抉擇及完成工作不同水準成果之選擇，</w:t>
      </w:r>
      <w:r w:rsidRPr="007332B0">
        <w:rPr>
          <w:rFonts w:eastAsia="標楷體" w:hAnsi="標楷體"/>
          <w:color w:val="000000"/>
          <w:kern w:val="0"/>
          <w:sz w:val="32"/>
          <w:szCs w:val="32"/>
        </w:rPr>
        <w:lastRenderedPageBreak/>
        <w:t>所為之規劃過程與預期結果。</w:t>
      </w:r>
    </w:p>
    <w:p w:rsidR="000540B2" w:rsidRPr="007332B0" w:rsidRDefault="000540B2" w:rsidP="000540B2">
      <w:pPr>
        <w:overflowPunct w:val="0"/>
        <w:autoSpaceDE w:val="0"/>
        <w:autoSpaceDN w:val="0"/>
        <w:spacing w:line="520" w:lineRule="exact"/>
        <w:ind w:left="614" w:hangingChars="192" w:hanging="614"/>
        <w:textDirection w:val="lrTbV"/>
        <w:rPr>
          <w:rFonts w:eastAsia="標楷體"/>
          <w:color w:val="000000"/>
          <w:kern w:val="0"/>
          <w:sz w:val="32"/>
          <w:szCs w:val="32"/>
        </w:rPr>
      </w:pPr>
      <w:r w:rsidRPr="007332B0">
        <w:rPr>
          <w:rFonts w:eastAsia="標楷體" w:hAnsi="標楷體"/>
          <w:color w:val="000000"/>
          <w:kern w:val="0"/>
          <w:sz w:val="32"/>
          <w:szCs w:val="32"/>
        </w:rPr>
        <w:t>二、專案計畫以估計所需執行期限為預定年限。專案計畫之分年實施者，按其實施之年度列入長期計畫及年度計畫與預算。</w:t>
      </w:r>
    </w:p>
    <w:p w:rsidR="000540B2" w:rsidRPr="007332B0" w:rsidRDefault="000540B2" w:rsidP="000540B2">
      <w:pPr>
        <w:overflowPunct w:val="0"/>
        <w:autoSpaceDE w:val="0"/>
        <w:autoSpaceDN w:val="0"/>
        <w:spacing w:line="520" w:lineRule="exact"/>
        <w:ind w:left="614" w:hangingChars="192" w:hanging="614"/>
        <w:textDirection w:val="lrTbV"/>
        <w:rPr>
          <w:rFonts w:eastAsia="標楷體"/>
          <w:color w:val="000000"/>
          <w:kern w:val="0"/>
          <w:sz w:val="32"/>
          <w:szCs w:val="32"/>
        </w:rPr>
      </w:pPr>
      <w:r w:rsidRPr="007332B0">
        <w:rPr>
          <w:rFonts w:eastAsia="標楷體" w:hAnsi="標楷體"/>
          <w:color w:val="000000"/>
          <w:kern w:val="0"/>
          <w:sz w:val="32"/>
          <w:szCs w:val="32"/>
        </w:rPr>
        <w:t>三、長期計畫得</w:t>
      </w:r>
      <w:proofErr w:type="gramStart"/>
      <w:r w:rsidRPr="007332B0">
        <w:rPr>
          <w:rFonts w:eastAsia="標楷體" w:hAnsi="標楷體"/>
          <w:color w:val="000000"/>
          <w:kern w:val="0"/>
          <w:sz w:val="32"/>
          <w:szCs w:val="32"/>
        </w:rPr>
        <w:t>採</w:t>
      </w:r>
      <w:proofErr w:type="gramEnd"/>
      <w:r w:rsidRPr="007332B0">
        <w:rPr>
          <w:rFonts w:eastAsia="標楷體" w:hAnsi="標楷體"/>
          <w:color w:val="000000"/>
          <w:kern w:val="0"/>
          <w:sz w:val="32"/>
          <w:szCs w:val="32"/>
        </w:rPr>
        <w:t>滾進制，即時間消逝一年，增加規劃一年，並得附列上年度預算數及前年度決算數。永遠保持原訂時間幅度。規劃時，並視未來政治、科技、社會、與立法等環境之長期變動，就原訂之計畫一併為必要之修正。其涉及專案計畫之成本與效益者，亦應同時修正專案計畫。</w:t>
      </w:r>
    </w:p>
    <w:p w:rsidR="000540B2" w:rsidRPr="007332B0" w:rsidRDefault="000540B2" w:rsidP="000540B2">
      <w:pPr>
        <w:overflowPunct w:val="0"/>
        <w:autoSpaceDE w:val="0"/>
        <w:autoSpaceDN w:val="0"/>
        <w:spacing w:line="520" w:lineRule="exact"/>
        <w:ind w:left="614" w:hangingChars="192" w:hanging="614"/>
        <w:textDirection w:val="lrTbV"/>
        <w:rPr>
          <w:rFonts w:eastAsia="標楷體"/>
          <w:color w:val="000000"/>
          <w:kern w:val="0"/>
          <w:sz w:val="32"/>
          <w:szCs w:val="32"/>
        </w:rPr>
      </w:pPr>
      <w:r w:rsidRPr="007332B0">
        <w:rPr>
          <w:rFonts w:eastAsia="標楷體" w:hAnsi="標楷體"/>
          <w:color w:val="000000"/>
          <w:kern w:val="0"/>
          <w:sz w:val="32"/>
          <w:szCs w:val="32"/>
        </w:rPr>
        <w:t>四、長期計畫，應根據年資料消除循環變動之經濟趨勢。</w:t>
      </w:r>
    </w:p>
    <w:p w:rsidR="000540B2" w:rsidRPr="007332B0" w:rsidRDefault="000540B2" w:rsidP="000540B2">
      <w:pPr>
        <w:overflowPunct w:val="0"/>
        <w:autoSpaceDE w:val="0"/>
        <w:autoSpaceDN w:val="0"/>
        <w:spacing w:line="520" w:lineRule="exact"/>
        <w:ind w:left="614" w:hangingChars="192" w:hanging="614"/>
        <w:textDirection w:val="lrTbV"/>
        <w:rPr>
          <w:rFonts w:eastAsia="標楷體"/>
          <w:color w:val="000000"/>
          <w:kern w:val="0"/>
          <w:sz w:val="32"/>
          <w:szCs w:val="32"/>
        </w:rPr>
      </w:pPr>
      <w:r w:rsidRPr="007332B0">
        <w:rPr>
          <w:rFonts w:eastAsia="標楷體" w:hAnsi="標楷體"/>
          <w:color w:val="000000"/>
          <w:kern w:val="0"/>
          <w:sz w:val="32"/>
          <w:szCs w:val="32"/>
        </w:rPr>
        <w:t>五、國營事業內部規劃程序如下：</w:t>
      </w:r>
    </w:p>
    <w:p w:rsidR="000540B2" w:rsidRPr="007332B0" w:rsidRDefault="000540B2" w:rsidP="000540B2">
      <w:pPr>
        <w:overflowPunct w:val="0"/>
        <w:autoSpaceDE w:val="0"/>
        <w:autoSpaceDN w:val="0"/>
        <w:spacing w:line="520" w:lineRule="exact"/>
        <w:ind w:leftChars="281" w:left="1215" w:hangingChars="169" w:hanging="541"/>
        <w:textDirection w:val="lrTbV"/>
        <w:rPr>
          <w:rFonts w:eastAsia="標楷體"/>
          <w:color w:val="000000"/>
          <w:kern w:val="0"/>
          <w:sz w:val="32"/>
          <w:szCs w:val="32"/>
        </w:rPr>
      </w:pPr>
      <w:r w:rsidRPr="007332B0">
        <w:rPr>
          <w:rFonts w:eastAsia="標楷體"/>
          <w:color w:val="000000"/>
          <w:kern w:val="0"/>
          <w:sz w:val="32"/>
          <w:szCs w:val="32"/>
        </w:rPr>
        <w:t>(</w:t>
      </w:r>
      <w:proofErr w:type="gramStart"/>
      <w:r w:rsidRPr="007332B0">
        <w:rPr>
          <w:rFonts w:eastAsia="標楷體" w:hAnsi="標楷體"/>
          <w:color w:val="000000"/>
          <w:kern w:val="0"/>
          <w:sz w:val="32"/>
          <w:szCs w:val="32"/>
        </w:rPr>
        <w:t>一</w:t>
      </w:r>
      <w:proofErr w:type="gramEnd"/>
      <w:r w:rsidRPr="007332B0">
        <w:rPr>
          <w:rFonts w:eastAsia="標楷體"/>
          <w:color w:val="000000"/>
          <w:kern w:val="0"/>
          <w:sz w:val="32"/>
          <w:szCs w:val="32"/>
        </w:rPr>
        <w:t>)</w:t>
      </w:r>
      <w:r w:rsidRPr="007332B0">
        <w:rPr>
          <w:rFonts w:eastAsia="標楷體" w:hAnsi="標楷體"/>
          <w:color w:val="000000"/>
          <w:kern w:val="0"/>
          <w:sz w:val="32"/>
          <w:szCs w:val="32"/>
        </w:rPr>
        <w:t>長期目標、次級目的、規劃指導、基本政策、與重要假定之擬訂與發布。</w:t>
      </w:r>
    </w:p>
    <w:p w:rsidR="000540B2" w:rsidRPr="007332B0" w:rsidRDefault="000540B2" w:rsidP="000540B2">
      <w:pPr>
        <w:overflowPunct w:val="0"/>
        <w:autoSpaceDE w:val="0"/>
        <w:autoSpaceDN w:val="0"/>
        <w:spacing w:line="520" w:lineRule="exact"/>
        <w:ind w:leftChars="281" w:left="1215" w:hangingChars="169" w:hanging="541"/>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二</w:t>
      </w:r>
      <w:r w:rsidRPr="007332B0">
        <w:rPr>
          <w:rFonts w:eastAsia="標楷體"/>
          <w:color w:val="000000"/>
          <w:kern w:val="0"/>
          <w:sz w:val="32"/>
          <w:szCs w:val="32"/>
        </w:rPr>
        <w:t>)</w:t>
      </w:r>
      <w:r w:rsidRPr="007332B0">
        <w:rPr>
          <w:rFonts w:eastAsia="標楷體" w:hAnsi="標楷體"/>
          <w:color w:val="000000"/>
          <w:kern w:val="0"/>
          <w:sz w:val="32"/>
          <w:szCs w:val="32"/>
        </w:rPr>
        <w:t>專案計畫與長期計畫之編製與修訂。</w:t>
      </w:r>
    </w:p>
    <w:p w:rsidR="000540B2" w:rsidRPr="007332B0" w:rsidRDefault="000540B2" w:rsidP="000540B2">
      <w:pPr>
        <w:overflowPunct w:val="0"/>
        <w:autoSpaceDE w:val="0"/>
        <w:autoSpaceDN w:val="0"/>
        <w:spacing w:line="520" w:lineRule="exact"/>
        <w:ind w:leftChars="281" w:left="1215" w:hangingChars="169" w:hanging="541"/>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三</w:t>
      </w:r>
      <w:r w:rsidRPr="007332B0">
        <w:rPr>
          <w:rFonts w:eastAsia="標楷體"/>
          <w:color w:val="000000"/>
          <w:kern w:val="0"/>
          <w:sz w:val="32"/>
          <w:szCs w:val="32"/>
        </w:rPr>
        <w:t>)</w:t>
      </w:r>
      <w:r w:rsidRPr="007332B0">
        <w:rPr>
          <w:rFonts w:eastAsia="標楷體" w:hAnsi="標楷體"/>
          <w:color w:val="000000"/>
          <w:kern w:val="0"/>
          <w:sz w:val="32"/>
          <w:szCs w:val="32"/>
        </w:rPr>
        <w:t>年度計畫與預算之分析與評估。</w:t>
      </w:r>
    </w:p>
    <w:p w:rsidR="000540B2" w:rsidRPr="007332B0" w:rsidRDefault="000540B2" w:rsidP="000540B2">
      <w:pPr>
        <w:overflowPunct w:val="0"/>
        <w:autoSpaceDE w:val="0"/>
        <w:autoSpaceDN w:val="0"/>
        <w:spacing w:line="520" w:lineRule="exact"/>
        <w:ind w:leftChars="281" w:left="1215" w:hangingChars="169" w:hanging="541"/>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四</w:t>
      </w:r>
      <w:r w:rsidRPr="007332B0">
        <w:rPr>
          <w:rFonts w:eastAsia="標楷體"/>
          <w:color w:val="000000"/>
          <w:kern w:val="0"/>
          <w:sz w:val="32"/>
          <w:szCs w:val="32"/>
        </w:rPr>
        <w:t>)</w:t>
      </w:r>
      <w:r w:rsidRPr="007332B0">
        <w:rPr>
          <w:rFonts w:eastAsia="標楷體" w:hAnsi="標楷體"/>
          <w:color w:val="000000"/>
          <w:kern w:val="0"/>
          <w:sz w:val="32"/>
          <w:szCs w:val="32"/>
        </w:rPr>
        <w:t>最終檢討與決定。</w:t>
      </w:r>
    </w:p>
    <w:p w:rsidR="000540B2" w:rsidRPr="007332B0" w:rsidRDefault="000540B2" w:rsidP="000540B2">
      <w:pPr>
        <w:overflowPunct w:val="0"/>
        <w:autoSpaceDE w:val="0"/>
        <w:autoSpaceDN w:val="0"/>
        <w:spacing w:line="500" w:lineRule="exact"/>
        <w:ind w:left="614" w:hangingChars="192" w:hanging="614"/>
        <w:textDirection w:val="lrTbV"/>
        <w:rPr>
          <w:rFonts w:eastAsia="標楷體"/>
          <w:color w:val="000000"/>
          <w:kern w:val="0"/>
          <w:sz w:val="32"/>
          <w:szCs w:val="32"/>
        </w:rPr>
      </w:pPr>
      <w:r w:rsidRPr="007332B0">
        <w:rPr>
          <w:rFonts w:eastAsia="標楷體" w:hAnsi="標楷體"/>
          <w:color w:val="000000"/>
          <w:kern w:val="0"/>
          <w:sz w:val="32"/>
          <w:szCs w:val="32"/>
        </w:rPr>
        <w:t>六、專案計畫之評估，按其重要程度，區分為下列三類：</w:t>
      </w:r>
    </w:p>
    <w:p w:rsidR="000540B2" w:rsidRPr="007332B0" w:rsidRDefault="000540B2" w:rsidP="000540B2">
      <w:pPr>
        <w:overflowPunct w:val="0"/>
        <w:autoSpaceDE w:val="0"/>
        <w:autoSpaceDN w:val="0"/>
        <w:spacing w:line="500" w:lineRule="exact"/>
        <w:ind w:leftChars="281" w:left="1215" w:hangingChars="169" w:hanging="541"/>
        <w:textDirection w:val="lrTbV"/>
        <w:rPr>
          <w:rFonts w:eastAsia="標楷體"/>
          <w:color w:val="000000"/>
          <w:kern w:val="0"/>
          <w:sz w:val="32"/>
          <w:szCs w:val="32"/>
        </w:rPr>
      </w:pPr>
      <w:r w:rsidRPr="007332B0">
        <w:rPr>
          <w:rFonts w:eastAsia="標楷體"/>
          <w:color w:val="000000"/>
          <w:kern w:val="0"/>
          <w:sz w:val="32"/>
          <w:szCs w:val="32"/>
        </w:rPr>
        <w:t>(</w:t>
      </w:r>
      <w:proofErr w:type="gramStart"/>
      <w:r w:rsidRPr="007332B0">
        <w:rPr>
          <w:rFonts w:eastAsia="標楷體" w:hAnsi="標楷體"/>
          <w:color w:val="000000"/>
          <w:kern w:val="0"/>
          <w:sz w:val="32"/>
          <w:szCs w:val="32"/>
        </w:rPr>
        <w:t>一</w:t>
      </w:r>
      <w:proofErr w:type="gramEnd"/>
      <w:r w:rsidRPr="007332B0">
        <w:rPr>
          <w:rFonts w:eastAsia="標楷體"/>
          <w:color w:val="000000"/>
          <w:kern w:val="0"/>
          <w:sz w:val="32"/>
          <w:szCs w:val="32"/>
        </w:rPr>
        <w:t>)</w:t>
      </w:r>
      <w:r w:rsidRPr="007332B0">
        <w:rPr>
          <w:rFonts w:eastAsia="標楷體" w:hAnsi="標楷體"/>
          <w:color w:val="000000"/>
          <w:kern w:val="0"/>
          <w:sz w:val="32"/>
          <w:szCs w:val="32"/>
        </w:rPr>
        <w:t>絕對重要。謂物質耗盡亟應</w:t>
      </w:r>
      <w:proofErr w:type="gramStart"/>
      <w:r w:rsidRPr="007332B0">
        <w:rPr>
          <w:rFonts w:eastAsia="標楷體" w:hAnsi="標楷體"/>
          <w:color w:val="000000"/>
          <w:kern w:val="0"/>
          <w:sz w:val="32"/>
          <w:szCs w:val="32"/>
        </w:rPr>
        <w:t>重置者</w:t>
      </w:r>
      <w:proofErr w:type="gramEnd"/>
      <w:r w:rsidRPr="007332B0">
        <w:rPr>
          <w:rFonts w:eastAsia="標楷體" w:hAnsi="標楷體"/>
          <w:color w:val="000000"/>
          <w:kern w:val="0"/>
          <w:sz w:val="32"/>
          <w:szCs w:val="32"/>
        </w:rPr>
        <w:t>，污染防治及改進衛生、安全、或品質所必需者，依法令或契約所規定者。</w:t>
      </w:r>
    </w:p>
    <w:p w:rsidR="000540B2" w:rsidRPr="007332B0" w:rsidRDefault="000540B2" w:rsidP="000540B2">
      <w:pPr>
        <w:overflowPunct w:val="0"/>
        <w:autoSpaceDE w:val="0"/>
        <w:autoSpaceDN w:val="0"/>
        <w:spacing w:line="500" w:lineRule="exact"/>
        <w:ind w:leftChars="281" w:left="1215" w:hangingChars="169" w:hanging="541"/>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二</w:t>
      </w:r>
      <w:r w:rsidRPr="007332B0">
        <w:rPr>
          <w:rFonts w:eastAsia="標楷體"/>
          <w:color w:val="000000"/>
          <w:kern w:val="0"/>
          <w:sz w:val="32"/>
          <w:szCs w:val="32"/>
        </w:rPr>
        <w:t>)</w:t>
      </w:r>
      <w:r w:rsidRPr="007332B0">
        <w:rPr>
          <w:rFonts w:eastAsia="標楷體" w:hAnsi="標楷體"/>
          <w:color w:val="000000"/>
          <w:kern w:val="0"/>
          <w:sz w:val="32"/>
          <w:szCs w:val="32"/>
        </w:rPr>
        <w:t>需要。謂保障資產，繼續經營所需而</w:t>
      </w:r>
      <w:proofErr w:type="gramStart"/>
      <w:r w:rsidRPr="007332B0">
        <w:rPr>
          <w:rFonts w:eastAsia="標楷體" w:hAnsi="標楷體"/>
          <w:color w:val="000000"/>
          <w:kern w:val="0"/>
          <w:sz w:val="32"/>
          <w:szCs w:val="32"/>
        </w:rPr>
        <w:t>可稍延</w:t>
      </w:r>
      <w:proofErr w:type="gramEnd"/>
      <w:r w:rsidRPr="007332B0">
        <w:rPr>
          <w:rFonts w:eastAsia="標楷體" w:hAnsi="標楷體"/>
          <w:color w:val="000000"/>
          <w:kern w:val="0"/>
          <w:sz w:val="32"/>
          <w:szCs w:val="32"/>
        </w:rPr>
        <w:t>，但不能無限期擱置者。</w:t>
      </w:r>
    </w:p>
    <w:p w:rsidR="000540B2" w:rsidRPr="007332B0" w:rsidRDefault="000540B2" w:rsidP="000540B2">
      <w:pPr>
        <w:overflowPunct w:val="0"/>
        <w:autoSpaceDE w:val="0"/>
        <w:autoSpaceDN w:val="0"/>
        <w:spacing w:line="500" w:lineRule="exact"/>
        <w:ind w:leftChars="281" w:left="1215" w:hangingChars="169" w:hanging="541"/>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三</w:t>
      </w:r>
      <w:r w:rsidRPr="007332B0">
        <w:rPr>
          <w:rFonts w:eastAsia="標楷體"/>
          <w:color w:val="000000"/>
          <w:kern w:val="0"/>
          <w:sz w:val="32"/>
          <w:szCs w:val="32"/>
        </w:rPr>
        <w:t>)</w:t>
      </w:r>
      <w:r w:rsidRPr="007332B0">
        <w:rPr>
          <w:rFonts w:eastAsia="標楷體" w:hAnsi="標楷體"/>
          <w:color w:val="000000"/>
          <w:kern w:val="0"/>
          <w:sz w:val="32"/>
          <w:szCs w:val="32"/>
        </w:rPr>
        <w:t>經濟要求。謂增進效能，擴充營業，提高報酬率，充分使用資源等計畫，得由管理決策取捨者。</w:t>
      </w:r>
    </w:p>
    <w:p w:rsidR="000540B2" w:rsidRPr="007332B0" w:rsidRDefault="000540B2" w:rsidP="000540B2">
      <w:pPr>
        <w:overflowPunct w:val="0"/>
        <w:autoSpaceDE w:val="0"/>
        <w:autoSpaceDN w:val="0"/>
        <w:spacing w:line="520" w:lineRule="exact"/>
        <w:ind w:left="586" w:hangingChars="183" w:hanging="586"/>
        <w:textDirection w:val="lrTbV"/>
        <w:rPr>
          <w:rFonts w:eastAsia="標楷體"/>
          <w:color w:val="000000"/>
          <w:kern w:val="0"/>
          <w:sz w:val="32"/>
          <w:szCs w:val="32"/>
        </w:rPr>
      </w:pPr>
      <w:r w:rsidRPr="007332B0">
        <w:rPr>
          <w:rFonts w:eastAsia="標楷體" w:hAnsi="標楷體"/>
          <w:color w:val="000000"/>
          <w:kern w:val="0"/>
          <w:sz w:val="32"/>
          <w:szCs w:val="32"/>
        </w:rPr>
        <w:t>七、各類專案計畫，應依下列財務標準與品質標準，編定優先序號。</w:t>
      </w:r>
    </w:p>
    <w:p w:rsidR="000540B2" w:rsidRPr="007332B0" w:rsidRDefault="000540B2" w:rsidP="000540B2">
      <w:pPr>
        <w:overflowPunct w:val="0"/>
        <w:autoSpaceDE w:val="0"/>
        <w:autoSpaceDN w:val="0"/>
        <w:spacing w:line="520" w:lineRule="exact"/>
        <w:ind w:leftChars="281" w:left="1215" w:hangingChars="169" w:hanging="541"/>
        <w:textDirection w:val="lrTbV"/>
        <w:rPr>
          <w:rFonts w:eastAsia="標楷體"/>
          <w:color w:val="000000"/>
          <w:kern w:val="0"/>
          <w:sz w:val="32"/>
          <w:szCs w:val="32"/>
        </w:rPr>
      </w:pPr>
      <w:r w:rsidRPr="007332B0">
        <w:rPr>
          <w:rFonts w:eastAsia="標楷體"/>
          <w:color w:val="000000"/>
          <w:kern w:val="0"/>
          <w:sz w:val="32"/>
          <w:szCs w:val="32"/>
        </w:rPr>
        <w:lastRenderedPageBreak/>
        <w:t>(</w:t>
      </w:r>
      <w:proofErr w:type="gramStart"/>
      <w:r w:rsidRPr="007332B0">
        <w:rPr>
          <w:rFonts w:eastAsia="標楷體" w:hAnsi="標楷體"/>
          <w:color w:val="000000"/>
          <w:kern w:val="0"/>
          <w:sz w:val="32"/>
          <w:szCs w:val="32"/>
        </w:rPr>
        <w:t>一</w:t>
      </w:r>
      <w:proofErr w:type="gramEnd"/>
      <w:r w:rsidRPr="007332B0">
        <w:rPr>
          <w:rFonts w:eastAsia="標楷體"/>
          <w:color w:val="000000"/>
          <w:kern w:val="0"/>
          <w:sz w:val="32"/>
          <w:szCs w:val="32"/>
        </w:rPr>
        <w:t>)</w:t>
      </w:r>
      <w:r w:rsidRPr="007332B0">
        <w:rPr>
          <w:rFonts w:eastAsia="標楷體" w:hAnsi="標楷體"/>
          <w:color w:val="000000"/>
          <w:kern w:val="0"/>
          <w:sz w:val="32"/>
          <w:szCs w:val="32"/>
        </w:rPr>
        <w:t>財務標準：</w:t>
      </w:r>
    </w:p>
    <w:p w:rsidR="000540B2" w:rsidRPr="007332B0" w:rsidRDefault="000540B2" w:rsidP="000540B2">
      <w:pPr>
        <w:overflowPunct w:val="0"/>
        <w:autoSpaceDE w:val="0"/>
        <w:autoSpaceDN w:val="0"/>
        <w:spacing w:line="520" w:lineRule="exact"/>
        <w:ind w:leftChars="535" w:left="1534" w:hangingChars="78" w:hanging="250"/>
        <w:textDirection w:val="lrTbV"/>
        <w:rPr>
          <w:rFonts w:eastAsia="標楷體"/>
          <w:color w:val="000000"/>
          <w:kern w:val="0"/>
          <w:sz w:val="32"/>
          <w:szCs w:val="32"/>
        </w:rPr>
      </w:pPr>
      <w:r w:rsidRPr="007332B0">
        <w:rPr>
          <w:rFonts w:eastAsia="標楷體"/>
          <w:color w:val="000000"/>
          <w:kern w:val="0"/>
          <w:sz w:val="32"/>
          <w:szCs w:val="32"/>
        </w:rPr>
        <w:t>1.</w:t>
      </w:r>
      <w:r w:rsidRPr="007332B0">
        <w:rPr>
          <w:rFonts w:eastAsia="標楷體" w:hAnsi="標楷體"/>
          <w:color w:val="000000"/>
          <w:kern w:val="0"/>
          <w:sz w:val="32"/>
          <w:szCs w:val="32"/>
        </w:rPr>
        <w:t>現值報酬率</w:t>
      </w:r>
    </w:p>
    <w:p w:rsidR="000540B2" w:rsidRPr="007332B0" w:rsidRDefault="000540B2" w:rsidP="000540B2">
      <w:pPr>
        <w:overflowPunct w:val="0"/>
        <w:autoSpaceDE w:val="0"/>
        <w:autoSpaceDN w:val="0"/>
        <w:spacing w:line="520" w:lineRule="exact"/>
        <w:ind w:leftChars="535" w:left="1534" w:hangingChars="78" w:hanging="250"/>
        <w:textDirection w:val="lrTbV"/>
        <w:rPr>
          <w:rFonts w:eastAsia="標楷體"/>
          <w:color w:val="000000"/>
          <w:kern w:val="0"/>
          <w:sz w:val="32"/>
          <w:szCs w:val="32"/>
        </w:rPr>
      </w:pPr>
      <w:r w:rsidRPr="007332B0">
        <w:rPr>
          <w:rFonts w:eastAsia="標楷體"/>
          <w:color w:val="000000"/>
          <w:kern w:val="0"/>
          <w:sz w:val="32"/>
          <w:szCs w:val="32"/>
        </w:rPr>
        <w:t>2.</w:t>
      </w:r>
      <w:r w:rsidRPr="007332B0">
        <w:rPr>
          <w:rFonts w:eastAsia="標楷體" w:hAnsi="標楷體"/>
          <w:color w:val="000000"/>
          <w:kern w:val="0"/>
          <w:sz w:val="32"/>
          <w:szCs w:val="32"/>
        </w:rPr>
        <w:t>淨現值</w:t>
      </w:r>
    </w:p>
    <w:p w:rsidR="000540B2" w:rsidRPr="007332B0" w:rsidRDefault="000540B2" w:rsidP="000540B2">
      <w:pPr>
        <w:overflowPunct w:val="0"/>
        <w:autoSpaceDE w:val="0"/>
        <w:autoSpaceDN w:val="0"/>
        <w:spacing w:line="520" w:lineRule="exact"/>
        <w:ind w:leftChars="535" w:left="1534" w:hangingChars="78" w:hanging="250"/>
        <w:textDirection w:val="lrTbV"/>
        <w:rPr>
          <w:rFonts w:eastAsia="標楷體"/>
          <w:color w:val="000000"/>
          <w:kern w:val="0"/>
          <w:sz w:val="32"/>
          <w:szCs w:val="32"/>
        </w:rPr>
      </w:pPr>
      <w:r w:rsidRPr="007332B0">
        <w:rPr>
          <w:rFonts w:eastAsia="標楷體"/>
          <w:color w:val="000000"/>
          <w:kern w:val="0"/>
          <w:sz w:val="32"/>
          <w:szCs w:val="32"/>
        </w:rPr>
        <w:t>3.</w:t>
      </w:r>
      <w:r w:rsidRPr="007332B0">
        <w:rPr>
          <w:rFonts w:eastAsia="標楷體" w:hAnsi="標楷體"/>
          <w:color w:val="000000"/>
          <w:kern w:val="0"/>
          <w:sz w:val="32"/>
          <w:szCs w:val="32"/>
        </w:rPr>
        <w:t>收回年限</w:t>
      </w:r>
    </w:p>
    <w:p w:rsidR="000540B2" w:rsidRPr="007332B0" w:rsidRDefault="000540B2" w:rsidP="000540B2">
      <w:pPr>
        <w:overflowPunct w:val="0"/>
        <w:autoSpaceDE w:val="0"/>
        <w:autoSpaceDN w:val="0"/>
        <w:spacing w:line="520" w:lineRule="exact"/>
        <w:ind w:leftChars="535" w:left="1534" w:hangingChars="78" w:hanging="250"/>
        <w:textDirection w:val="lrTbV"/>
        <w:rPr>
          <w:rFonts w:eastAsia="標楷體"/>
          <w:color w:val="000000"/>
          <w:kern w:val="0"/>
          <w:sz w:val="32"/>
          <w:szCs w:val="32"/>
        </w:rPr>
      </w:pPr>
      <w:r w:rsidRPr="007332B0">
        <w:rPr>
          <w:rFonts w:eastAsia="標楷體"/>
          <w:color w:val="000000"/>
          <w:kern w:val="0"/>
          <w:sz w:val="32"/>
          <w:szCs w:val="32"/>
        </w:rPr>
        <w:t>4.</w:t>
      </w:r>
      <w:r w:rsidRPr="007332B0">
        <w:rPr>
          <w:rFonts w:eastAsia="標楷體" w:hAnsi="標楷體"/>
          <w:color w:val="000000"/>
          <w:kern w:val="0"/>
          <w:sz w:val="32"/>
          <w:szCs w:val="32"/>
        </w:rPr>
        <w:t>風險機率</w:t>
      </w:r>
    </w:p>
    <w:p w:rsidR="000540B2" w:rsidRPr="007332B0" w:rsidRDefault="000540B2" w:rsidP="000540B2">
      <w:pPr>
        <w:overflowPunct w:val="0"/>
        <w:autoSpaceDE w:val="0"/>
        <w:autoSpaceDN w:val="0"/>
        <w:spacing w:line="520" w:lineRule="exact"/>
        <w:ind w:leftChars="281" w:left="1215" w:hangingChars="169" w:hanging="541"/>
        <w:textDirection w:val="lrTbV"/>
        <w:rPr>
          <w:rFonts w:eastAsia="標楷體"/>
          <w:color w:val="000000"/>
          <w:kern w:val="0"/>
          <w:sz w:val="32"/>
          <w:szCs w:val="32"/>
        </w:rPr>
      </w:pPr>
      <w:r w:rsidRPr="007332B0">
        <w:rPr>
          <w:rFonts w:eastAsia="標楷體"/>
          <w:color w:val="000000"/>
          <w:kern w:val="0"/>
          <w:sz w:val="32"/>
          <w:szCs w:val="32"/>
        </w:rPr>
        <w:t>(</w:t>
      </w:r>
      <w:r w:rsidRPr="007332B0">
        <w:rPr>
          <w:rFonts w:eastAsia="標楷體" w:hAnsi="標楷體"/>
          <w:color w:val="000000"/>
          <w:kern w:val="0"/>
          <w:sz w:val="32"/>
          <w:szCs w:val="32"/>
        </w:rPr>
        <w:t>二</w:t>
      </w:r>
      <w:r w:rsidRPr="007332B0">
        <w:rPr>
          <w:rFonts w:eastAsia="標楷體"/>
          <w:color w:val="000000"/>
          <w:kern w:val="0"/>
          <w:sz w:val="32"/>
          <w:szCs w:val="32"/>
        </w:rPr>
        <w:t>)</w:t>
      </w:r>
      <w:r w:rsidRPr="007332B0">
        <w:rPr>
          <w:rFonts w:eastAsia="標楷體" w:hAnsi="標楷體"/>
          <w:color w:val="000000"/>
          <w:kern w:val="0"/>
          <w:sz w:val="32"/>
          <w:szCs w:val="32"/>
        </w:rPr>
        <w:t>品質標準：</w:t>
      </w:r>
    </w:p>
    <w:p w:rsidR="000540B2" w:rsidRPr="007332B0" w:rsidRDefault="000540B2" w:rsidP="000540B2">
      <w:pPr>
        <w:overflowPunct w:val="0"/>
        <w:autoSpaceDE w:val="0"/>
        <w:autoSpaceDN w:val="0"/>
        <w:spacing w:line="520" w:lineRule="exact"/>
        <w:ind w:leftChars="535" w:left="1534" w:hangingChars="78" w:hanging="250"/>
        <w:textDirection w:val="lrTbV"/>
        <w:rPr>
          <w:rFonts w:eastAsia="標楷體"/>
          <w:color w:val="000000"/>
          <w:kern w:val="0"/>
          <w:sz w:val="32"/>
          <w:szCs w:val="32"/>
        </w:rPr>
      </w:pPr>
      <w:r w:rsidRPr="007332B0">
        <w:rPr>
          <w:rFonts w:eastAsia="標楷體"/>
          <w:color w:val="000000"/>
          <w:kern w:val="0"/>
          <w:sz w:val="32"/>
          <w:szCs w:val="32"/>
        </w:rPr>
        <w:t>1.</w:t>
      </w:r>
      <w:r w:rsidRPr="007332B0">
        <w:rPr>
          <w:rFonts w:eastAsia="標楷體" w:hAnsi="標楷體"/>
          <w:color w:val="000000"/>
          <w:kern w:val="0"/>
          <w:sz w:val="32"/>
          <w:szCs w:val="32"/>
        </w:rPr>
        <w:t>對成長之貢獻</w:t>
      </w:r>
    </w:p>
    <w:p w:rsidR="000540B2" w:rsidRPr="007332B0" w:rsidRDefault="000540B2" w:rsidP="000540B2">
      <w:pPr>
        <w:overflowPunct w:val="0"/>
        <w:autoSpaceDE w:val="0"/>
        <w:autoSpaceDN w:val="0"/>
        <w:spacing w:line="520" w:lineRule="exact"/>
        <w:ind w:leftChars="535" w:left="1534" w:hangingChars="78" w:hanging="250"/>
        <w:textDirection w:val="lrTbV"/>
        <w:rPr>
          <w:rFonts w:eastAsia="標楷體"/>
          <w:color w:val="000000"/>
          <w:kern w:val="0"/>
          <w:sz w:val="32"/>
          <w:szCs w:val="32"/>
        </w:rPr>
      </w:pPr>
      <w:r w:rsidRPr="007332B0">
        <w:rPr>
          <w:rFonts w:eastAsia="標楷體"/>
          <w:color w:val="000000"/>
          <w:kern w:val="0"/>
          <w:sz w:val="32"/>
          <w:szCs w:val="32"/>
        </w:rPr>
        <w:t>2.</w:t>
      </w:r>
      <w:r w:rsidRPr="007332B0">
        <w:rPr>
          <w:rFonts w:eastAsia="標楷體" w:hAnsi="標楷體"/>
          <w:color w:val="000000"/>
          <w:kern w:val="0"/>
          <w:sz w:val="32"/>
          <w:szCs w:val="32"/>
        </w:rPr>
        <w:t>與其他計畫擬案之關係</w:t>
      </w:r>
    </w:p>
    <w:p w:rsidR="000540B2" w:rsidRPr="007332B0" w:rsidRDefault="000540B2" w:rsidP="000540B2">
      <w:pPr>
        <w:overflowPunct w:val="0"/>
        <w:autoSpaceDE w:val="0"/>
        <w:autoSpaceDN w:val="0"/>
        <w:spacing w:line="520" w:lineRule="exact"/>
        <w:ind w:leftChars="535" w:left="1534" w:hangingChars="78" w:hanging="250"/>
        <w:textDirection w:val="lrTbV"/>
        <w:rPr>
          <w:rFonts w:eastAsia="標楷體"/>
          <w:color w:val="000000"/>
          <w:kern w:val="0"/>
          <w:sz w:val="32"/>
          <w:szCs w:val="32"/>
        </w:rPr>
      </w:pPr>
      <w:r w:rsidRPr="007332B0">
        <w:rPr>
          <w:rFonts w:eastAsia="標楷體"/>
          <w:color w:val="000000"/>
          <w:kern w:val="0"/>
          <w:sz w:val="32"/>
          <w:szCs w:val="32"/>
        </w:rPr>
        <w:t>3.</w:t>
      </w:r>
      <w:r w:rsidRPr="007332B0">
        <w:rPr>
          <w:rFonts w:eastAsia="標楷體" w:hAnsi="標楷體"/>
          <w:color w:val="000000"/>
          <w:kern w:val="0"/>
          <w:sz w:val="32"/>
          <w:szCs w:val="32"/>
        </w:rPr>
        <w:t>提高本事業地位之程度</w:t>
      </w:r>
    </w:p>
    <w:p w:rsidR="000540B2" w:rsidRPr="007332B0" w:rsidRDefault="000540B2" w:rsidP="000540B2">
      <w:pPr>
        <w:overflowPunct w:val="0"/>
        <w:autoSpaceDE w:val="0"/>
        <w:autoSpaceDN w:val="0"/>
        <w:spacing w:line="520" w:lineRule="exact"/>
        <w:ind w:left="586" w:hangingChars="183" w:hanging="586"/>
        <w:jc w:val="both"/>
        <w:textDirection w:val="lrTbV"/>
        <w:rPr>
          <w:rFonts w:eastAsia="標楷體"/>
          <w:color w:val="000000"/>
          <w:kern w:val="0"/>
          <w:sz w:val="32"/>
          <w:szCs w:val="32"/>
        </w:rPr>
      </w:pPr>
      <w:r w:rsidRPr="007332B0">
        <w:rPr>
          <w:rFonts w:eastAsia="標楷體" w:hAnsi="標楷體"/>
          <w:color w:val="000000"/>
          <w:kern w:val="0"/>
          <w:sz w:val="32"/>
          <w:szCs w:val="32"/>
        </w:rPr>
        <w:t>八、專案計畫之資金籌措，應有效運用自有資金，必要時得以舉借方式辦理。</w:t>
      </w:r>
    </w:p>
    <w:p w:rsidR="000540B2" w:rsidRPr="007332B0" w:rsidRDefault="000540B2" w:rsidP="000540B2">
      <w:pPr>
        <w:overflowPunct w:val="0"/>
        <w:autoSpaceDE w:val="0"/>
        <w:autoSpaceDN w:val="0"/>
        <w:spacing w:line="520" w:lineRule="exact"/>
        <w:ind w:left="573" w:hangingChars="179" w:hanging="573"/>
        <w:jc w:val="both"/>
        <w:textDirection w:val="lrTbV"/>
        <w:rPr>
          <w:rFonts w:eastAsia="標楷體"/>
          <w:color w:val="000000"/>
          <w:kern w:val="0"/>
          <w:sz w:val="32"/>
          <w:szCs w:val="32"/>
        </w:rPr>
      </w:pPr>
      <w:r w:rsidRPr="007332B0">
        <w:rPr>
          <w:rFonts w:eastAsia="標楷體" w:hAnsi="標楷體"/>
          <w:color w:val="000000"/>
          <w:kern w:val="0"/>
          <w:sz w:val="32"/>
          <w:szCs w:val="32"/>
        </w:rPr>
        <w:t>九、各種計畫應依目標轉換為人力物力需求，預算應依人力物力需求轉換為財務需求。</w:t>
      </w:r>
    </w:p>
    <w:p w:rsidR="000540B2" w:rsidRPr="007332B0" w:rsidRDefault="000540B2" w:rsidP="000540B2">
      <w:pPr>
        <w:overflowPunct w:val="0"/>
        <w:autoSpaceDE w:val="0"/>
        <w:autoSpaceDN w:val="0"/>
        <w:spacing w:line="520" w:lineRule="exact"/>
        <w:ind w:left="614" w:hangingChars="192" w:hanging="614"/>
        <w:jc w:val="both"/>
        <w:textDirection w:val="lrTbV"/>
        <w:rPr>
          <w:rFonts w:eastAsia="標楷體"/>
          <w:color w:val="000000"/>
          <w:kern w:val="0"/>
          <w:sz w:val="32"/>
          <w:szCs w:val="32"/>
        </w:rPr>
      </w:pPr>
      <w:r w:rsidRPr="007332B0">
        <w:rPr>
          <w:rFonts w:eastAsia="標楷體" w:hAnsi="標楷體"/>
          <w:color w:val="000000"/>
          <w:kern w:val="0"/>
          <w:sz w:val="32"/>
          <w:szCs w:val="32"/>
        </w:rPr>
        <w:t>十、計畫科目與預算科目分類，應使之相合，各事業性質相同之科目，應使之一致。</w:t>
      </w:r>
    </w:p>
    <w:p w:rsidR="000540B2" w:rsidRPr="007332B0" w:rsidRDefault="000540B2" w:rsidP="000540B2">
      <w:pPr>
        <w:overflowPunct w:val="0"/>
        <w:autoSpaceDE w:val="0"/>
        <w:autoSpaceDN w:val="0"/>
        <w:spacing w:line="500" w:lineRule="exact"/>
        <w:ind w:left="614" w:hangingChars="192" w:hanging="614"/>
        <w:jc w:val="both"/>
        <w:textDirection w:val="lrTbV"/>
        <w:rPr>
          <w:rFonts w:eastAsia="標楷體"/>
          <w:color w:val="000000"/>
          <w:kern w:val="0"/>
          <w:sz w:val="32"/>
          <w:szCs w:val="32"/>
        </w:rPr>
      </w:pPr>
      <w:r w:rsidRPr="007332B0">
        <w:rPr>
          <w:rFonts w:eastAsia="標楷體" w:hAnsi="標楷體"/>
          <w:color w:val="000000"/>
          <w:kern w:val="0"/>
          <w:sz w:val="32"/>
          <w:szCs w:val="32"/>
        </w:rPr>
        <w:t>十一、國營事業各級管理人員，應參與計畫預算之規劃與控制。各業務部門與會計部門、企劃部門</w:t>
      </w:r>
      <w:proofErr w:type="gramStart"/>
      <w:r w:rsidRPr="007332B0">
        <w:rPr>
          <w:rFonts w:eastAsia="標楷體" w:hAnsi="標楷體"/>
          <w:color w:val="000000"/>
          <w:kern w:val="0"/>
          <w:sz w:val="32"/>
          <w:szCs w:val="32"/>
        </w:rPr>
        <w:t>之間，</w:t>
      </w:r>
      <w:proofErr w:type="gramEnd"/>
      <w:r w:rsidRPr="007332B0">
        <w:rPr>
          <w:rFonts w:eastAsia="標楷體" w:hAnsi="標楷體"/>
          <w:color w:val="000000"/>
          <w:kern w:val="0"/>
          <w:sz w:val="32"/>
          <w:szCs w:val="32"/>
        </w:rPr>
        <w:t>責任分明，力求避免重疊與脫節，共同事務必須密切合作。</w:t>
      </w:r>
    </w:p>
    <w:p w:rsidR="000540B2" w:rsidRPr="007332B0" w:rsidRDefault="000540B2" w:rsidP="000540B2">
      <w:pPr>
        <w:overflowPunct w:val="0"/>
        <w:autoSpaceDE w:val="0"/>
        <w:autoSpaceDN w:val="0"/>
        <w:spacing w:line="500" w:lineRule="exact"/>
        <w:ind w:left="614" w:hangingChars="192" w:hanging="614"/>
        <w:textDirection w:val="lrTbV"/>
        <w:rPr>
          <w:rFonts w:eastAsia="標楷體"/>
          <w:color w:val="000000"/>
          <w:kern w:val="0"/>
          <w:sz w:val="32"/>
          <w:szCs w:val="32"/>
        </w:rPr>
      </w:pPr>
      <w:r w:rsidRPr="007332B0">
        <w:rPr>
          <w:rFonts w:eastAsia="標楷體" w:hAnsi="標楷體"/>
          <w:color w:val="000000"/>
          <w:kern w:val="0"/>
          <w:sz w:val="32"/>
          <w:szCs w:val="32"/>
        </w:rPr>
        <w:t>十二、計畫與預算分由企劃部門與</w:t>
      </w:r>
      <w:proofErr w:type="gramStart"/>
      <w:r w:rsidRPr="007332B0">
        <w:rPr>
          <w:rFonts w:eastAsia="標楷體" w:hAnsi="標楷體"/>
          <w:color w:val="000000"/>
          <w:kern w:val="0"/>
          <w:sz w:val="32"/>
          <w:szCs w:val="32"/>
        </w:rPr>
        <w:t>會計部門負彙總</w:t>
      </w:r>
      <w:proofErr w:type="gramEnd"/>
      <w:r w:rsidRPr="007332B0">
        <w:rPr>
          <w:rFonts w:eastAsia="標楷體" w:hAnsi="標楷體"/>
          <w:color w:val="000000"/>
          <w:kern w:val="0"/>
          <w:sz w:val="32"/>
          <w:szCs w:val="32"/>
        </w:rPr>
        <w:t>、分析、與評估之責，未設企劃部門之事業由會計部門一併辦理。</w:t>
      </w:r>
    </w:p>
    <w:p w:rsidR="000540B2" w:rsidRPr="007332B0" w:rsidRDefault="000540B2" w:rsidP="000540B2">
      <w:pPr>
        <w:overflowPunct w:val="0"/>
        <w:autoSpaceDE w:val="0"/>
        <w:autoSpaceDN w:val="0"/>
        <w:spacing w:line="500" w:lineRule="exact"/>
        <w:ind w:left="614" w:hangingChars="192" w:hanging="614"/>
        <w:jc w:val="both"/>
        <w:textDirection w:val="lrTbV"/>
        <w:rPr>
          <w:rFonts w:eastAsia="標楷體"/>
          <w:color w:val="000000"/>
          <w:kern w:val="0"/>
          <w:sz w:val="32"/>
          <w:szCs w:val="32"/>
        </w:rPr>
      </w:pPr>
      <w:r w:rsidRPr="007332B0">
        <w:rPr>
          <w:rFonts w:eastAsia="標楷體" w:hAnsi="標楷體"/>
          <w:color w:val="000000"/>
          <w:kern w:val="0"/>
          <w:sz w:val="32"/>
          <w:szCs w:val="32"/>
        </w:rPr>
        <w:t>十三、國營事業於籌編年度計畫與預算時，設年度計畫與預算審核會議，由事業主持人，各部門主管，及高級幕僚組成，負政策指導與協調之責。</w:t>
      </w:r>
    </w:p>
    <w:p w:rsidR="000540B2" w:rsidRPr="007332B0" w:rsidRDefault="000540B2" w:rsidP="000540B2">
      <w:pPr>
        <w:overflowPunct w:val="0"/>
        <w:autoSpaceDE w:val="0"/>
        <w:autoSpaceDN w:val="0"/>
        <w:spacing w:line="520" w:lineRule="exact"/>
        <w:ind w:left="614" w:hangingChars="192" w:hanging="614"/>
        <w:jc w:val="both"/>
        <w:textDirection w:val="lrTbV"/>
        <w:rPr>
          <w:rFonts w:eastAsia="標楷體"/>
          <w:color w:val="000000"/>
          <w:kern w:val="0"/>
          <w:sz w:val="32"/>
          <w:szCs w:val="32"/>
        </w:rPr>
      </w:pPr>
      <w:r w:rsidRPr="007332B0">
        <w:rPr>
          <w:rFonts w:eastAsia="標楷體" w:hAnsi="標楷體"/>
          <w:color w:val="000000"/>
          <w:kern w:val="0"/>
          <w:sz w:val="32"/>
          <w:szCs w:val="32"/>
        </w:rPr>
        <w:t>十四、國營事業應發展財</w:t>
      </w:r>
      <w:bookmarkStart w:id="0" w:name="_GoBack"/>
      <w:bookmarkEnd w:id="0"/>
      <w:r w:rsidRPr="007332B0">
        <w:rPr>
          <w:rFonts w:eastAsia="標楷體" w:hAnsi="標楷體"/>
          <w:color w:val="000000"/>
          <w:kern w:val="0"/>
          <w:sz w:val="32"/>
          <w:szCs w:val="32"/>
        </w:rPr>
        <w:t>務規劃模式，於計畫與預算作成決策時充分利用。並依各種基本假定，模擬各項變數對成本、數量與利潤之影響，以利抉擇。提高售價應預期銷量之減</w:t>
      </w:r>
      <w:r w:rsidRPr="007332B0">
        <w:rPr>
          <w:rFonts w:eastAsia="標楷體" w:hAnsi="標楷體"/>
          <w:color w:val="000000"/>
          <w:kern w:val="0"/>
          <w:sz w:val="32"/>
          <w:szCs w:val="32"/>
        </w:rPr>
        <w:lastRenderedPageBreak/>
        <w:t>少，銷量減少應計及單位成本之增加。</w:t>
      </w:r>
    </w:p>
    <w:p w:rsidR="000540B2" w:rsidRPr="007332B0" w:rsidRDefault="000540B2" w:rsidP="000540B2">
      <w:pPr>
        <w:overflowPunct w:val="0"/>
        <w:autoSpaceDE w:val="0"/>
        <w:autoSpaceDN w:val="0"/>
        <w:spacing w:line="520" w:lineRule="exact"/>
        <w:ind w:left="614" w:hangingChars="192" w:hanging="614"/>
        <w:jc w:val="both"/>
        <w:textDirection w:val="lrTbV"/>
        <w:rPr>
          <w:rFonts w:eastAsia="標楷體"/>
          <w:color w:val="000000"/>
          <w:kern w:val="0"/>
          <w:sz w:val="32"/>
          <w:szCs w:val="32"/>
        </w:rPr>
      </w:pPr>
      <w:r w:rsidRPr="007332B0">
        <w:rPr>
          <w:rFonts w:eastAsia="標楷體" w:hAnsi="標楷體"/>
          <w:color w:val="000000"/>
          <w:kern w:val="0"/>
          <w:sz w:val="32"/>
          <w:szCs w:val="32"/>
        </w:rPr>
        <w:t>十五、國營事業籌編年度計畫與預算時，應先為長期計畫修正之考慮。年度預算修正核定後，應同時修正長期計畫。</w:t>
      </w:r>
    </w:p>
    <w:p w:rsidR="000540B2" w:rsidRPr="007332B0" w:rsidRDefault="000540B2" w:rsidP="000540B2">
      <w:pPr>
        <w:overflowPunct w:val="0"/>
        <w:autoSpaceDE w:val="0"/>
        <w:autoSpaceDN w:val="0"/>
        <w:spacing w:line="520" w:lineRule="exact"/>
        <w:ind w:left="614" w:hangingChars="192" w:hanging="614"/>
        <w:jc w:val="both"/>
        <w:textDirection w:val="lrTbV"/>
        <w:rPr>
          <w:rFonts w:eastAsia="標楷體"/>
          <w:color w:val="000000"/>
          <w:kern w:val="0"/>
          <w:sz w:val="32"/>
          <w:szCs w:val="32"/>
        </w:rPr>
      </w:pPr>
      <w:r w:rsidRPr="007332B0">
        <w:rPr>
          <w:rFonts w:eastAsia="標楷體" w:hAnsi="標楷體"/>
          <w:color w:val="000000"/>
          <w:kern w:val="0"/>
          <w:sz w:val="32"/>
          <w:szCs w:val="32"/>
        </w:rPr>
        <w:t>十六、國營事業應建立風險管理機制，</w:t>
      </w:r>
      <w:proofErr w:type="gramStart"/>
      <w:r w:rsidRPr="007332B0">
        <w:rPr>
          <w:rFonts w:eastAsia="標楷體" w:hAnsi="標楷體"/>
          <w:color w:val="000000"/>
          <w:kern w:val="0"/>
          <w:sz w:val="32"/>
          <w:szCs w:val="32"/>
        </w:rPr>
        <w:t>妥訂風險</w:t>
      </w:r>
      <w:proofErr w:type="gramEnd"/>
      <w:r w:rsidRPr="007332B0">
        <w:rPr>
          <w:rFonts w:eastAsia="標楷體" w:hAnsi="標楷體"/>
          <w:color w:val="000000"/>
          <w:kern w:val="0"/>
          <w:sz w:val="32"/>
          <w:szCs w:val="32"/>
        </w:rPr>
        <w:t>管理政策及架構。對於基本策略、長期計畫、專案計畫及年度計畫與預算之擬訂與執行，應確實評估各項風險，掌握風險影響程度及承受能力，並</w:t>
      </w:r>
      <w:proofErr w:type="gramStart"/>
      <w:r w:rsidRPr="007332B0">
        <w:rPr>
          <w:rFonts w:eastAsia="標楷體" w:hAnsi="標楷體"/>
          <w:color w:val="000000"/>
          <w:kern w:val="0"/>
          <w:sz w:val="32"/>
          <w:szCs w:val="32"/>
        </w:rPr>
        <w:t>研</w:t>
      </w:r>
      <w:proofErr w:type="gramEnd"/>
      <w:r w:rsidRPr="007332B0">
        <w:rPr>
          <w:rFonts w:eastAsia="標楷體" w:hAnsi="標楷體"/>
          <w:color w:val="000000"/>
          <w:kern w:val="0"/>
          <w:sz w:val="32"/>
          <w:szCs w:val="32"/>
        </w:rPr>
        <w:t>擬風險處理程序及因應措施，以提升經營績效，達成經營目標。</w:t>
      </w:r>
    </w:p>
    <w:p w:rsidR="00B01C59" w:rsidRPr="00B01C59" w:rsidRDefault="00B01C59" w:rsidP="000540B2">
      <w:pPr>
        <w:overflowPunct w:val="0"/>
      </w:pPr>
    </w:p>
    <w:sectPr w:rsidR="00B01C59" w:rsidRPr="00B01C59" w:rsidSect="00FF5E8F">
      <w:footerReference w:type="even" r:id="rId6"/>
      <w:footerReference w:type="default" r:id="rId7"/>
      <w:pgSz w:w="11906" w:h="16838" w:code="9"/>
      <w:pgMar w:top="1418" w:right="1701" w:bottom="1418" w:left="1701" w:header="851" w:footer="680" w:gutter="0"/>
      <w:pgNumType w:start="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7C9" w:rsidRDefault="009E57C9">
      <w:r>
        <w:separator/>
      </w:r>
    </w:p>
  </w:endnote>
  <w:endnote w:type="continuationSeparator" w:id="0">
    <w:p w:rsidR="009E57C9" w:rsidRDefault="009E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C59" w:rsidRDefault="00B01C59" w:rsidP="00FA08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01C59" w:rsidRDefault="00B01C5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C59" w:rsidRDefault="00B01C59" w:rsidP="00FA08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021C5">
      <w:rPr>
        <w:rStyle w:val="a4"/>
        <w:noProof/>
      </w:rPr>
      <w:t>93</w:t>
    </w:r>
    <w:r>
      <w:rPr>
        <w:rStyle w:val="a4"/>
      </w:rPr>
      <w:fldChar w:fldCharType="end"/>
    </w:r>
  </w:p>
  <w:p w:rsidR="00B01C59" w:rsidRDefault="00B01C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7C9" w:rsidRDefault="009E57C9">
      <w:r>
        <w:separator/>
      </w:r>
    </w:p>
  </w:footnote>
  <w:footnote w:type="continuationSeparator" w:id="0">
    <w:p w:rsidR="009E57C9" w:rsidRDefault="009E5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59"/>
    <w:rsid w:val="000540B2"/>
    <w:rsid w:val="000712B4"/>
    <w:rsid w:val="001B2B66"/>
    <w:rsid w:val="00234269"/>
    <w:rsid w:val="005832AA"/>
    <w:rsid w:val="006974FD"/>
    <w:rsid w:val="007F6245"/>
    <w:rsid w:val="008021C5"/>
    <w:rsid w:val="009E57C9"/>
    <w:rsid w:val="00B01C59"/>
    <w:rsid w:val="00E32346"/>
    <w:rsid w:val="00FA080C"/>
    <w:rsid w:val="00FF5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C706B8-FF92-4784-93D3-9D0B8AEF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1C5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B01C59"/>
    <w:pPr>
      <w:adjustRightInd w:val="0"/>
      <w:spacing w:line="400" w:lineRule="atLeast"/>
      <w:ind w:left="681" w:hanging="227"/>
      <w:jc w:val="both"/>
      <w:textDirection w:val="lrTbV"/>
      <w:textAlignment w:val="baseline"/>
    </w:pPr>
    <w:rPr>
      <w:rFonts w:eastAsia="細明體"/>
      <w:b/>
      <w:sz w:val="22"/>
      <w:szCs w:val="20"/>
    </w:rPr>
  </w:style>
  <w:style w:type="paragraph" w:styleId="a3">
    <w:name w:val="footer"/>
    <w:basedOn w:val="a"/>
    <w:rsid w:val="00B01C59"/>
    <w:pPr>
      <w:tabs>
        <w:tab w:val="center" w:pos="4153"/>
        <w:tab w:val="right" w:pos="8306"/>
      </w:tabs>
      <w:snapToGrid w:val="0"/>
    </w:pPr>
    <w:rPr>
      <w:sz w:val="20"/>
      <w:szCs w:val="20"/>
    </w:rPr>
  </w:style>
  <w:style w:type="character" w:styleId="a4">
    <w:name w:val="page number"/>
    <w:basedOn w:val="a0"/>
    <w:rsid w:val="00B01C59"/>
  </w:style>
  <w:style w:type="paragraph" w:styleId="a5">
    <w:name w:val="header"/>
    <w:basedOn w:val="a"/>
    <w:rsid w:val="001B2B66"/>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263</Words>
  <Characters>1500</Characters>
  <Application>Microsoft Office Word</Application>
  <DocSecurity>0</DocSecurity>
  <Lines>12</Lines>
  <Paragraphs>3</Paragraphs>
  <ScaleCrop>false</ScaleCrop>
  <Company>dgbas</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國營事業長期計畫與年度預算配合作業實施要點</dc:title>
  <dc:subject/>
  <dc:creator>基金預算處黃秀容</dc:creator>
  <cp:keywords/>
  <dc:description/>
  <cp:lastModifiedBy>林秀燕</cp:lastModifiedBy>
  <cp:revision>3</cp:revision>
  <dcterms:created xsi:type="dcterms:W3CDTF">2020-05-15T08:54:00Z</dcterms:created>
  <dcterms:modified xsi:type="dcterms:W3CDTF">2021-05-27T06:37:00Z</dcterms:modified>
</cp:coreProperties>
</file>